
<file path=[Content_Types].xml><?xml version="1.0" encoding="utf-8"?>
<Types xmlns="http://schemas.openxmlformats.org/package/2006/content-types">
  <Default Extension="xlsx" ContentType="application/vnd.openxmlformats-officedocument.spreadsheetml.sheet"/>
  <Default Extension="xml" ContentType="application/xml"/>
  <Default Extension="png" ContentType="image/png"/>
  <Default Extension="jpeg" ContentType="image/jpeg"/>
  <Default Extension="rels" ContentType="application/vnd.openxmlformats-package.relationships+xml"/>
  <Default Extension="emf" ContentType="image/x-emf"/>
  <Override PartName="/word/theme/theme1.xml" ContentType="application/vnd.openxmlformats-officedocument.theme+xml"/>
  <Override PartName="/word/fontTable.xml" ContentType="application/vnd.openxmlformats-officedocument.wordprocessingml.fontTable+xml"/>
  <Override PartName="/word/charts/chart3.xml" ContentType="application/vnd.openxmlformats-officedocument.drawingml.chart+xml"/>
  <Override PartName="/docProps/core.xml" ContentType="application/vnd.openxmlformats-package.core-properties+xml"/>
  <Override PartName="/word/footer1.xml" ContentType="application/vnd.openxmlformats-officedocument.wordprocessingml.footer+xml"/>
  <Override PartName="/word/charts/chart1.xml" ContentType="application/vnd.openxmlformats-officedocument.drawingml.chart+xml"/>
  <Override PartName="/word/numbering.xml" ContentType="application/vnd.openxmlformats-officedocument.wordprocessingml.numbering+xml"/>
  <Override PartName="/customXml/itemProps2.xml" ContentType="application/vnd.openxmlformats-officedocument.customXmlProperties+xml"/>
  <Override PartName="/word/settings.xml" ContentType="application/vnd.openxmlformats-officedocument.wordprocessingml.settings+xml"/>
  <Override PartName="/docProps/custom.xml" ContentType="application/vnd.openxmlformats-officedocument.custom-properties+xml"/>
  <Override PartName="/word/footer3.xml" ContentType="application/vnd.openxmlformats-officedocument.wordprocessingml.footer+xml"/>
  <Override PartName="/word/charts/chart4.xml" ContentType="application/vnd.openxmlformats-officedocument.drawingml.chart+xml"/>
  <Override PartName="/word/document.xml" ContentType="application/vnd.openxmlformats-officedocument.wordprocessingml.document.main+xml"/>
  <Override PartName="/word/charts/chart2.xml" ContentType="application/vnd.openxmlformats-officedocument.drawingml.chart+xml"/>
  <Override PartName="/customXml/itemProps1.xml" ContentType="application/vnd.openxmlformats-officedocument.customXmlProperties+xml"/>
  <Override PartName="/word/footer2.xml" ContentType="application/vnd.openxmlformats-officedocument.wordprocessingml.footer+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mc:Ignorable="w14 wp14">
  <w:body>
    <w:p>
      <w:pPr>
        <w:pStyle w:val="style0"/>
        <w:spacing w:lineRule="auto" w:line="360"/>
        <w:jc w:val="center"/>
        <w:rPr>
          <w:rFonts w:ascii="Times New Roman" w:cs="Times New Roman" w:hAnsi="Times New Roman"/>
          <w:b/>
          <w:sz w:val="28"/>
          <w:szCs w:val="28"/>
        </w:rPr>
      </w:pPr>
      <w:r>
        <w:rPr>
          <w:rFonts w:ascii="Times New Roman" w:cs="Times New Roman" w:hAnsi="Times New Roman"/>
          <w:noProof/>
          <w:sz w:val="28"/>
          <w:szCs w:val="28"/>
        </w:rPr>
        <w:drawing>
          <wp:anchor distT="0" distB="0" distL="114300" distR="114300" simplePos="false" relativeHeight="2" behindDoc="false" locked="false" layoutInCell="true" allowOverlap="true">
            <wp:simplePos x="0" y="0"/>
            <wp:positionH relativeFrom="column">
              <wp:posOffset>1352550</wp:posOffset>
            </wp:positionH>
            <wp:positionV relativeFrom="paragraph">
              <wp:posOffset>-130810</wp:posOffset>
            </wp:positionV>
            <wp:extent cx="2971800" cy="1181100"/>
            <wp:effectExtent l="0" t="0" r="0" b="0"/>
            <wp:wrapSquare wrapText="bothSides"/>
            <wp:docPr id="1026" name="Picture 6" descr="Description: https://mylibrarianship.files.wordpress.com/2023/07/1689676293583-1.jpg?w=478"/>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Picture 6"/>
                    <pic:cNvPicPr/>
                  </pic:nvPicPr>
                  <pic:blipFill rotWithShape="true">
                    <a:blip r:embed="rId2" cstate="print">
                      <a:extLst>
                        <a:ext uri="{28A0092B-C50C-407E-A947-70E740481C1C}">
                          <a14:useLocalDpi xmlns:a14="http://schemas.microsoft.com/office/drawing/2010/main" val="0"/>
                        </a:ext>
                      </a:extLst>
                    </a:blip>
                    <a:srcRect l="0" t="0" r="0" b="0"/>
                    <a:stretch>
                      <a:fillRect/>
                    </a:stretch>
                  </pic:blipFill>
                  <pic:spPr>
                    <a:xfrm>
                      <a:off x="0" y="0"/>
                      <a:ext cx="2971800" cy="1181100"/>
                    </a:xfrm>
                    <a:prstGeom prst="rect">
                      <a:avLst/>
                    </a:prstGeom>
                  </pic:spPr>
                </pic:pic>
              </a:graphicData>
            </a:graphic>
          </wp:anchor>
        </w:drawing>
      </w:r>
    </w:p>
    <w:p>
      <w:pPr>
        <w:pStyle w:val="style0"/>
        <w:spacing w:lineRule="auto" w:line="360"/>
        <w:jc w:val="center"/>
        <w:rPr>
          <w:rFonts w:ascii="Times New Roman" w:cs="Times New Roman" w:hAnsi="Times New Roman"/>
          <w:b/>
          <w:sz w:val="28"/>
          <w:szCs w:val="28"/>
        </w:rPr>
      </w:pPr>
    </w:p>
    <w:p>
      <w:pPr>
        <w:pStyle w:val="style0"/>
        <w:spacing w:lineRule="auto" w:line="360"/>
        <w:jc w:val="center"/>
        <w:rPr>
          <w:rFonts w:ascii="Times New Roman" w:cs="Times New Roman" w:hAnsi="Times New Roman"/>
          <w:b/>
          <w:sz w:val="28"/>
          <w:szCs w:val="28"/>
        </w:rPr>
      </w:pPr>
    </w:p>
    <w:p>
      <w:pPr>
        <w:pStyle w:val="style0"/>
        <w:tabs>
          <w:tab w:val="left" w:leader="none" w:pos="276"/>
        </w:tabs>
        <w:spacing w:lineRule="auto" w:line="360"/>
        <w:jc w:val="center"/>
        <w:rPr>
          <w:rFonts w:ascii="Times New Roman" w:cs="Times New Roman" w:hAnsi="Times New Roman"/>
          <w:b/>
          <w:sz w:val="24"/>
          <w:szCs w:val="24"/>
        </w:rPr>
      </w:pPr>
      <w:r>
        <w:rPr>
          <w:rFonts w:ascii="Times New Roman" w:cs="Times New Roman" w:hAnsi="Times New Roman"/>
          <w:b/>
          <w:sz w:val="24"/>
          <w:szCs w:val="24"/>
        </w:rPr>
        <w:t>AMBO UNIVERSITY</w:t>
      </w:r>
    </w:p>
    <w:p>
      <w:pPr>
        <w:pStyle w:val="style0"/>
        <w:spacing w:lineRule="auto" w:line="360"/>
        <w:jc w:val="center"/>
        <w:rPr>
          <w:rFonts w:ascii="Times New Roman" w:cs="Times New Roman" w:hAnsi="Times New Roman"/>
          <w:b/>
          <w:sz w:val="28"/>
          <w:szCs w:val="28"/>
          <w:lang w:val="en-GB"/>
        </w:rPr>
      </w:pPr>
      <w:r>
        <w:rPr>
          <w:rFonts w:ascii="Times New Roman" w:cs="Times New Roman" w:hAnsi="Times New Roman"/>
          <w:b/>
          <w:sz w:val="28"/>
          <w:szCs w:val="28"/>
          <w:lang w:val="en-GB"/>
        </w:rPr>
        <w:t>SCHOOL OF GRADUATE STUDIES</w:t>
      </w:r>
    </w:p>
    <w:p>
      <w:pPr>
        <w:pStyle w:val="style0"/>
        <w:spacing w:lineRule="auto" w:line="360"/>
        <w:jc w:val="center"/>
        <w:rPr>
          <w:rFonts w:ascii="Times New Roman" w:cs="Times New Roman" w:hAnsi="Times New Roman"/>
          <w:b/>
          <w:sz w:val="28"/>
          <w:szCs w:val="28"/>
          <w:lang w:val="en-GB"/>
        </w:rPr>
      </w:pPr>
      <w:r>
        <w:rPr>
          <w:rFonts w:ascii="Times New Roman" w:cs="Times New Roman" w:hAnsi="Times New Roman"/>
          <w:b/>
          <w:sz w:val="28"/>
          <w:szCs w:val="28"/>
          <w:lang w:val="en-GB"/>
        </w:rPr>
        <w:t>COLLEGE OF BUSINESS AND ECONOMICS</w:t>
      </w:r>
    </w:p>
    <w:p>
      <w:pPr>
        <w:pStyle w:val="style0"/>
        <w:spacing w:lineRule="auto" w:line="360"/>
        <w:jc w:val="center"/>
        <w:rPr>
          <w:rFonts w:ascii="Times New Roman" w:cs="Times New Roman" w:hAnsi="Times New Roman"/>
          <w:b/>
          <w:sz w:val="28"/>
          <w:szCs w:val="28"/>
          <w:lang w:val="en-GB"/>
        </w:rPr>
      </w:pPr>
      <w:r>
        <w:rPr>
          <w:rFonts w:ascii="Times New Roman" w:cs="Times New Roman" w:hAnsi="Times New Roman"/>
          <w:b/>
          <w:sz w:val="28"/>
          <w:szCs w:val="28"/>
          <w:lang w:val="en-GB"/>
        </w:rPr>
        <w:t xml:space="preserve">DEPARTMENT OF ACCOUNTING </w:t>
      </w:r>
      <w:r>
        <w:rPr>
          <w:rFonts w:ascii="Times New Roman" w:cs="Times New Roman" w:hAnsi="Times New Roman"/>
          <w:b/>
          <w:sz w:val="28"/>
          <w:szCs w:val="28"/>
          <w:lang w:val="en-GB"/>
        </w:rPr>
        <w:t>AND</w:t>
      </w:r>
      <w:r>
        <w:rPr>
          <w:rFonts w:ascii="Times New Roman" w:cs="Times New Roman" w:hAnsi="Times New Roman"/>
          <w:b/>
          <w:sz w:val="28"/>
          <w:szCs w:val="28"/>
          <w:lang w:val="en-GB"/>
        </w:rPr>
        <w:t xml:space="preserve"> FINANCE</w:t>
      </w:r>
    </w:p>
    <w:p>
      <w:pPr>
        <w:pStyle w:val="style0"/>
        <w:spacing w:lineRule="auto" w:line="360"/>
        <w:jc w:val="center"/>
        <w:rPr>
          <w:rFonts w:ascii="Times New Roman" w:cs="Times New Roman" w:hAnsi="Times New Roman"/>
          <w:b/>
          <w:sz w:val="28"/>
          <w:szCs w:val="28"/>
        </w:rPr>
      </w:pPr>
      <w:r>
        <w:rPr>
          <w:rFonts w:ascii="Times New Roman" w:cs="Times New Roman" w:hAnsi="Times New Roman"/>
          <w:b/>
          <w:sz w:val="28"/>
          <w:szCs w:val="28"/>
        </w:rPr>
        <w:t>VOLUNTARY TAX COMPLIANCE OF CATEGORY A TAXPAYERS: EVIDANCE FROM BURAYU CITY</w:t>
      </w:r>
    </w:p>
    <w:p>
      <w:pPr>
        <w:pStyle w:val="style0"/>
        <w:spacing w:lineRule="auto" w:line="360"/>
        <w:jc w:val="center"/>
        <w:rPr>
          <w:rFonts w:ascii="Times New Roman" w:cs="Times New Roman" w:hAnsi="Times New Roman"/>
          <w:b/>
          <w:sz w:val="28"/>
          <w:szCs w:val="28"/>
        </w:rPr>
      </w:pPr>
      <w:r>
        <w:rPr>
          <w:rFonts w:ascii="Times New Roman" w:cs="Times New Roman" w:hAnsi="Times New Roman"/>
          <w:b/>
          <w:sz w:val="28"/>
          <w:szCs w:val="28"/>
        </w:rPr>
        <w:t>BY:</w:t>
      </w:r>
    </w:p>
    <w:p>
      <w:pPr>
        <w:pStyle w:val="style0"/>
        <w:spacing w:lineRule="auto" w:line="360"/>
        <w:jc w:val="center"/>
        <w:rPr>
          <w:rFonts w:ascii="Times New Roman" w:cs="Times New Roman" w:hAnsi="Times New Roman"/>
          <w:b/>
          <w:sz w:val="28"/>
          <w:szCs w:val="28"/>
        </w:rPr>
      </w:pPr>
      <w:r>
        <w:rPr>
          <w:rFonts w:ascii="Times New Roman" w:cs="Times New Roman" w:hAnsi="Times New Roman"/>
          <w:b/>
          <w:sz w:val="28"/>
          <w:szCs w:val="28"/>
        </w:rPr>
        <w:t>ZEWUDU GUDISA MEGERSA</w:t>
      </w:r>
    </w:p>
    <w:p>
      <w:pPr>
        <w:pStyle w:val="style0"/>
        <w:spacing w:lineRule="auto" w:line="360"/>
        <w:jc w:val="both"/>
        <w:rPr>
          <w:rFonts w:ascii="Times New Roman" w:cs="Times New Roman" w:hAnsi="Times New Roman"/>
          <w:b/>
          <w:sz w:val="28"/>
          <w:szCs w:val="28"/>
        </w:rPr>
      </w:pPr>
    </w:p>
    <w:p>
      <w:pPr>
        <w:pStyle w:val="style0"/>
        <w:spacing w:lineRule="auto" w:line="360"/>
        <w:jc w:val="both"/>
        <w:rPr>
          <w:rFonts w:ascii="Times New Roman" w:cs="Times New Roman" w:hAnsi="Times New Roman"/>
          <w:b/>
          <w:sz w:val="28"/>
          <w:szCs w:val="28"/>
        </w:rPr>
      </w:pPr>
    </w:p>
    <w:p>
      <w:pPr>
        <w:pStyle w:val="style0"/>
        <w:spacing w:lineRule="auto" w:line="360"/>
        <w:jc w:val="both"/>
        <w:rPr>
          <w:rFonts w:ascii="Times New Roman" w:cs="Times New Roman" w:hAnsi="Times New Roman"/>
          <w:b/>
          <w:sz w:val="28"/>
          <w:szCs w:val="28"/>
        </w:rPr>
      </w:pPr>
    </w:p>
    <w:p>
      <w:pPr>
        <w:pStyle w:val="style0"/>
        <w:spacing w:lineRule="auto" w:line="360"/>
        <w:jc w:val="both"/>
        <w:rPr>
          <w:rFonts w:ascii="Times New Roman" w:cs="Times New Roman" w:hAnsi="Times New Roman"/>
          <w:b/>
          <w:sz w:val="28"/>
          <w:szCs w:val="28"/>
        </w:rPr>
      </w:pPr>
    </w:p>
    <w:p>
      <w:pPr>
        <w:pStyle w:val="style0"/>
        <w:spacing w:lineRule="auto" w:line="360"/>
        <w:jc w:val="both"/>
        <w:rPr>
          <w:rFonts w:ascii="Times New Roman" w:cs="Times New Roman" w:hAnsi="Times New Roman"/>
          <w:sz w:val="28"/>
          <w:szCs w:val="28"/>
        </w:rPr>
      </w:pPr>
    </w:p>
    <w:p>
      <w:pPr>
        <w:pStyle w:val="style0"/>
        <w:spacing w:lineRule="auto" w:line="360"/>
        <w:jc w:val="both"/>
        <w:rPr>
          <w:rFonts w:ascii="Times New Roman" w:cs="Times New Roman" w:hAnsi="Times New Roman"/>
          <w:sz w:val="28"/>
          <w:szCs w:val="28"/>
        </w:rPr>
      </w:pPr>
      <w:r>
        <w:rPr>
          <w:rFonts w:ascii="Times New Roman" w:cs="Times New Roman" w:hAnsi="Times New Roman"/>
          <w:sz w:val="28"/>
          <w:szCs w:val="28"/>
        </w:rPr>
        <w:t xml:space="preserve">                                                                              </w:t>
      </w:r>
    </w:p>
    <w:p>
      <w:pPr>
        <w:pStyle w:val="style0"/>
        <w:spacing w:lineRule="auto" w:line="360"/>
        <w:jc w:val="right"/>
        <w:rPr>
          <w:rFonts w:ascii="Times New Roman" w:cs="Times New Roman" w:hAnsi="Times New Roman"/>
          <w:sz w:val="28"/>
          <w:szCs w:val="28"/>
        </w:rPr>
      </w:pPr>
      <w:r>
        <w:rPr>
          <w:rFonts w:ascii="Times New Roman" w:cs="Times New Roman" w:hAnsi="Times New Roman"/>
          <w:sz w:val="28"/>
          <w:szCs w:val="28"/>
        </w:rPr>
        <w:t xml:space="preserve">                                                                                                            JULY, 2025</w:t>
      </w:r>
    </w:p>
    <w:p>
      <w:pPr>
        <w:pStyle w:val="style0"/>
        <w:spacing w:lineRule="auto" w:line="360"/>
        <w:jc w:val="right"/>
        <w:rPr>
          <w:rFonts w:ascii="Times New Roman" w:cs="Times New Roman" w:hAnsi="Times New Roman"/>
          <w:sz w:val="28"/>
          <w:szCs w:val="28"/>
        </w:rPr>
      </w:pPr>
      <w:r>
        <w:rPr>
          <w:rFonts w:ascii="Times New Roman" w:cs="Times New Roman" w:hAnsi="Times New Roman"/>
          <w:sz w:val="28"/>
          <w:szCs w:val="28"/>
        </w:rPr>
        <w:t>AMBO, ETHIOPIA</w:t>
      </w:r>
    </w:p>
    <w:p>
      <w:pPr>
        <w:pStyle w:val="style0"/>
        <w:tabs>
          <w:tab w:val="left" w:leader="none" w:pos="276"/>
        </w:tabs>
        <w:spacing w:lineRule="auto" w:line="360"/>
        <w:jc w:val="center"/>
        <w:rPr>
          <w:rFonts w:ascii="Times New Roman" w:cs="Times New Roman" w:hAnsi="Times New Roman"/>
          <w:b/>
          <w:sz w:val="24"/>
          <w:szCs w:val="24"/>
        </w:rPr>
      </w:pPr>
      <w:r>
        <w:rPr>
          <w:rFonts w:ascii="Times New Roman" w:cs="Times New Roman" w:hAnsi="Times New Roman"/>
          <w:b/>
          <w:noProof/>
          <w:sz w:val="24"/>
          <w:szCs w:val="24"/>
        </w:rPr>
        <w:drawing>
          <wp:anchor distT="0" distB="0" distL="114300" distR="114300" simplePos="false" relativeHeight="10" behindDoc="false" locked="false" layoutInCell="true" allowOverlap="true">
            <wp:simplePos x="0" y="0"/>
            <wp:positionH relativeFrom="column">
              <wp:posOffset>1184275</wp:posOffset>
            </wp:positionH>
            <wp:positionV relativeFrom="paragraph">
              <wp:posOffset>-340360</wp:posOffset>
            </wp:positionV>
            <wp:extent cx="3298825" cy="1581785"/>
            <wp:effectExtent l="0" t="0" r="0" b="0"/>
            <wp:wrapSquare wrapText="bothSides"/>
            <wp:docPr id="1027" name="Picture 7" descr="Description: https://mylibrarianship.files.wordpress.com/2023/07/1689676293583-1.jpg?w=478"/>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rotWithShape="true">
                    <a:blip r:embed="rId2" cstate="print">
                      <a:extLst>
                        <a:ext uri="{28A0092B-C50C-407E-A947-70E740481C1C}">
                          <a14:useLocalDpi xmlns:a14="http://schemas.microsoft.com/office/drawing/2010/main" val="0"/>
                        </a:ext>
                      </a:extLst>
                    </a:blip>
                    <a:srcRect l="0" t="0" r="0" b="0"/>
                    <a:stretch>
                      <a:fillRect/>
                    </a:stretch>
                  </pic:blipFill>
                  <pic:spPr>
                    <a:xfrm>
                      <a:off x="0" y="0"/>
                      <a:ext cx="3298825" cy="1581785"/>
                    </a:xfrm>
                    <a:prstGeom prst="rect">
                      <a:avLst/>
                    </a:prstGeom>
                  </pic:spPr>
                </pic:pic>
              </a:graphicData>
            </a:graphic>
          </wp:anchor>
        </w:drawing>
      </w:r>
    </w:p>
    <w:p>
      <w:pPr>
        <w:pStyle w:val="style0"/>
        <w:tabs>
          <w:tab w:val="left" w:leader="none" w:pos="276"/>
        </w:tabs>
        <w:spacing w:lineRule="auto" w:line="360"/>
        <w:jc w:val="center"/>
        <w:rPr>
          <w:rFonts w:ascii="Times New Roman" w:cs="Times New Roman" w:hAnsi="Times New Roman"/>
          <w:b/>
          <w:sz w:val="24"/>
          <w:szCs w:val="24"/>
        </w:rPr>
      </w:pPr>
    </w:p>
    <w:p>
      <w:pPr>
        <w:pStyle w:val="style0"/>
        <w:tabs>
          <w:tab w:val="left" w:leader="none" w:pos="276"/>
        </w:tabs>
        <w:spacing w:lineRule="auto" w:line="360"/>
        <w:jc w:val="center"/>
        <w:rPr>
          <w:rFonts w:ascii="Times New Roman" w:cs="Times New Roman" w:hAnsi="Times New Roman"/>
          <w:b/>
          <w:sz w:val="24"/>
          <w:szCs w:val="24"/>
        </w:rPr>
      </w:pPr>
    </w:p>
    <w:p>
      <w:pPr>
        <w:pStyle w:val="style0"/>
        <w:tabs>
          <w:tab w:val="left" w:leader="none" w:pos="276"/>
        </w:tabs>
        <w:spacing w:lineRule="auto" w:line="360"/>
        <w:jc w:val="center"/>
        <w:rPr>
          <w:rFonts w:ascii="Times New Roman" w:cs="Times New Roman" w:hAnsi="Times New Roman"/>
          <w:b/>
          <w:sz w:val="24"/>
          <w:szCs w:val="24"/>
        </w:rPr>
      </w:pPr>
    </w:p>
    <w:p>
      <w:pPr>
        <w:pStyle w:val="style0"/>
        <w:tabs>
          <w:tab w:val="left" w:leader="none" w:pos="276"/>
        </w:tabs>
        <w:spacing w:lineRule="auto" w:line="360"/>
        <w:jc w:val="center"/>
        <w:rPr>
          <w:rFonts w:ascii="Times New Roman" w:cs="Times New Roman" w:hAnsi="Times New Roman"/>
          <w:b/>
          <w:sz w:val="24"/>
          <w:szCs w:val="24"/>
        </w:rPr>
      </w:pPr>
      <w:r>
        <w:rPr>
          <w:rFonts w:ascii="Times New Roman" w:cs="Times New Roman" w:hAnsi="Times New Roman"/>
          <w:b/>
          <w:sz w:val="24"/>
          <w:szCs w:val="24"/>
        </w:rPr>
        <w:t>AMBO UNIVERSITY</w:t>
      </w:r>
    </w:p>
    <w:p>
      <w:pPr>
        <w:pStyle w:val="style0"/>
        <w:tabs>
          <w:tab w:val="left" w:leader="none" w:pos="276"/>
        </w:tabs>
        <w:spacing w:lineRule="auto" w:line="360"/>
        <w:jc w:val="center"/>
        <w:rPr>
          <w:rFonts w:ascii="Times New Roman" w:cs="Times New Roman" w:hAnsi="Times New Roman"/>
          <w:b/>
          <w:bCs/>
          <w:sz w:val="24"/>
          <w:szCs w:val="24"/>
        </w:rPr>
      </w:pPr>
      <w:r>
        <w:rPr>
          <w:rFonts w:ascii="Times New Roman" w:cs="Times New Roman" w:hAnsi="Times New Roman"/>
          <w:b/>
          <w:bCs/>
          <w:sz w:val="24"/>
          <w:szCs w:val="24"/>
        </w:rPr>
        <w:t>SCHOOL OF GRADUATE STUDIES</w:t>
      </w:r>
    </w:p>
    <w:p>
      <w:pPr>
        <w:pStyle w:val="style0"/>
        <w:tabs>
          <w:tab w:val="left" w:leader="none" w:pos="276"/>
        </w:tabs>
        <w:spacing w:lineRule="auto" w:line="360"/>
        <w:jc w:val="center"/>
        <w:rPr>
          <w:rFonts w:ascii="Times New Roman" w:cs="Times New Roman" w:hAnsi="Times New Roman"/>
          <w:b/>
          <w:sz w:val="24"/>
          <w:szCs w:val="24"/>
        </w:rPr>
      </w:pPr>
      <w:r>
        <w:rPr>
          <w:rFonts w:ascii="Times New Roman" w:cs="Times New Roman" w:hAnsi="Times New Roman"/>
          <w:b/>
          <w:sz w:val="24"/>
          <w:szCs w:val="24"/>
        </w:rPr>
        <w:t>COLLEGE OF BUSINESS AND ECONOMICS</w:t>
      </w:r>
    </w:p>
    <w:p>
      <w:pPr>
        <w:pStyle w:val="style0"/>
        <w:tabs>
          <w:tab w:val="left" w:leader="none" w:pos="276"/>
        </w:tabs>
        <w:spacing w:lineRule="auto" w:line="360"/>
        <w:jc w:val="center"/>
        <w:rPr>
          <w:rFonts w:ascii="Times New Roman" w:cs="Times New Roman" w:hAnsi="Times New Roman"/>
          <w:b/>
          <w:sz w:val="24"/>
          <w:szCs w:val="24"/>
        </w:rPr>
      </w:pPr>
      <w:r>
        <w:rPr>
          <w:rFonts w:ascii="Times New Roman" w:cs="Times New Roman" w:hAnsi="Times New Roman"/>
          <w:b/>
          <w:sz w:val="24"/>
          <w:szCs w:val="24"/>
        </w:rPr>
        <w:t>DEPARTMENT OF ACCOUNTING AND FINANCE</w:t>
      </w:r>
    </w:p>
    <w:p>
      <w:pPr>
        <w:pStyle w:val="style0"/>
        <w:tabs>
          <w:tab w:val="left" w:leader="none" w:pos="276"/>
        </w:tabs>
        <w:spacing w:lineRule="auto" w:line="360"/>
        <w:jc w:val="center"/>
        <w:rPr>
          <w:rFonts w:ascii="Times New Roman" w:cs="Times New Roman" w:hAnsi="Times New Roman"/>
          <w:b/>
          <w:sz w:val="24"/>
          <w:szCs w:val="24"/>
        </w:rPr>
      </w:pPr>
    </w:p>
    <w:p>
      <w:pPr>
        <w:pStyle w:val="style0"/>
        <w:tabs>
          <w:tab w:val="left" w:leader="none" w:pos="276"/>
        </w:tabs>
        <w:spacing w:lineRule="auto" w:line="360"/>
        <w:jc w:val="center"/>
        <w:rPr>
          <w:rFonts w:ascii="Times New Roman" w:cs="Times New Roman" w:hAnsi="Times New Roman"/>
          <w:b/>
          <w:sz w:val="24"/>
          <w:szCs w:val="24"/>
        </w:rPr>
      </w:pPr>
      <w:r>
        <w:rPr>
          <w:rFonts w:ascii="Times New Roman" w:cs="Times New Roman" w:hAnsi="Times New Roman"/>
          <w:b/>
          <w:sz w:val="24"/>
          <w:szCs w:val="24"/>
        </w:rPr>
        <w:t>VOLUNTARY TAX COMPLIANCE OF CATEGORY A TAXPAYERS: EVIDENCE FROM BURAYU CITY</w:t>
      </w:r>
    </w:p>
    <w:p>
      <w:pPr>
        <w:pStyle w:val="style0"/>
        <w:tabs>
          <w:tab w:val="left" w:leader="none" w:pos="276"/>
        </w:tabs>
        <w:spacing w:lineRule="auto" w:line="360"/>
        <w:jc w:val="center"/>
        <w:rPr>
          <w:rFonts w:ascii="Times New Roman" w:cs="Times New Roman" w:hAnsi="Times New Roman"/>
          <w:b/>
          <w:sz w:val="24"/>
          <w:szCs w:val="24"/>
        </w:rPr>
      </w:pPr>
    </w:p>
    <w:p>
      <w:pPr>
        <w:pStyle w:val="style0"/>
        <w:tabs>
          <w:tab w:val="left" w:leader="none" w:pos="276"/>
        </w:tabs>
        <w:spacing w:lineRule="auto" w:line="360"/>
        <w:jc w:val="center"/>
        <w:rPr>
          <w:rFonts w:ascii="Times New Roman" w:cs="Times New Roman" w:hAnsi="Times New Roman"/>
          <w:b/>
          <w:sz w:val="24"/>
          <w:szCs w:val="24"/>
        </w:rPr>
      </w:pPr>
      <w:r>
        <w:rPr>
          <w:rFonts w:ascii="Times New Roman" w:cs="Times New Roman" w:hAnsi="Times New Roman"/>
          <w:b/>
          <w:sz w:val="24"/>
          <w:szCs w:val="24"/>
        </w:rPr>
        <w:t>A THESIS SUBMITTED TO THE SCHOOL OF GRADUATE   STUDIES OF AMBO UNIVERSITY IN PARTIAL FULFILLMENT OF THE REQUIREMENTS FOR THE AWARD OF THE DEGREE OF MASTER OF ACCOUNTING AND FINANCE</w:t>
      </w:r>
    </w:p>
    <w:p>
      <w:pPr>
        <w:pStyle w:val="style0"/>
        <w:tabs>
          <w:tab w:val="left" w:leader="none" w:pos="276"/>
        </w:tabs>
        <w:spacing w:lineRule="auto" w:line="360"/>
        <w:jc w:val="center"/>
        <w:rPr>
          <w:rFonts w:ascii="Times New Roman" w:cs="Times New Roman" w:hAnsi="Times New Roman"/>
          <w:b/>
          <w:sz w:val="24"/>
          <w:szCs w:val="24"/>
        </w:rPr>
      </w:pPr>
      <w:r>
        <w:rPr>
          <w:rFonts w:ascii="Times New Roman" w:cs="Times New Roman" w:hAnsi="Times New Roman"/>
          <w:b/>
          <w:sz w:val="24"/>
          <w:szCs w:val="24"/>
        </w:rPr>
        <w:t>BY:</w:t>
      </w:r>
    </w:p>
    <w:bookmarkStart w:id="0" w:name="_Hlk197074834"/>
    <w:p>
      <w:pPr>
        <w:pStyle w:val="style0"/>
        <w:tabs>
          <w:tab w:val="left" w:leader="none" w:pos="276"/>
        </w:tabs>
        <w:spacing w:lineRule="auto" w:line="360"/>
        <w:jc w:val="center"/>
        <w:rPr>
          <w:rFonts w:ascii="Times New Roman" w:cs="Times New Roman" w:hAnsi="Times New Roman"/>
          <w:b/>
          <w:sz w:val="24"/>
          <w:szCs w:val="24"/>
        </w:rPr>
      </w:pPr>
      <w:r>
        <w:rPr>
          <w:rFonts w:ascii="Times New Roman" w:cs="Times New Roman" w:hAnsi="Times New Roman"/>
          <w:b/>
          <w:sz w:val="24"/>
          <w:szCs w:val="24"/>
        </w:rPr>
        <w:t>ZEWUDU GUDISA MEGERSA</w:t>
      </w:r>
      <w:bookmarkEnd w:id="0"/>
    </w:p>
    <w:p>
      <w:pPr>
        <w:pStyle w:val="style0"/>
        <w:tabs>
          <w:tab w:val="left" w:leader="none" w:pos="276"/>
        </w:tabs>
        <w:spacing w:lineRule="auto" w:line="360"/>
        <w:jc w:val="center"/>
        <w:rPr>
          <w:rFonts w:ascii="Times New Roman" w:cs="Times New Roman" w:hAnsi="Times New Roman"/>
          <w:b/>
          <w:bCs/>
          <w:sz w:val="24"/>
          <w:szCs w:val="24"/>
        </w:rPr>
      </w:pPr>
    </w:p>
    <w:p>
      <w:pPr>
        <w:pStyle w:val="style0"/>
        <w:tabs>
          <w:tab w:val="left" w:leader="none" w:pos="276"/>
        </w:tabs>
        <w:spacing w:lineRule="auto" w:line="360"/>
        <w:jc w:val="center"/>
        <w:rPr>
          <w:rFonts w:ascii="Times New Roman" w:cs="Times New Roman" w:hAnsi="Times New Roman"/>
          <w:b/>
          <w:bCs/>
          <w:sz w:val="24"/>
          <w:szCs w:val="24"/>
        </w:rPr>
      </w:pPr>
      <w:r>
        <w:rPr>
          <w:rFonts w:ascii="Times New Roman" w:cs="Times New Roman" w:hAnsi="Times New Roman"/>
          <w:b/>
          <w:bCs/>
          <w:sz w:val="24"/>
          <w:szCs w:val="24"/>
        </w:rPr>
        <w:t>ADVISOR: OLANI BEKELE (PhD)</w:t>
      </w:r>
    </w:p>
    <w:p>
      <w:pPr>
        <w:pStyle w:val="style0"/>
        <w:tabs>
          <w:tab w:val="left" w:leader="none" w:pos="276"/>
        </w:tabs>
        <w:spacing w:lineRule="auto" w:line="360"/>
        <w:jc w:val="center"/>
        <w:rPr>
          <w:rFonts w:ascii="Times New Roman" w:cs="Times New Roman" w:hAnsi="Times New Roman"/>
          <w:b/>
          <w:bCs/>
          <w:sz w:val="24"/>
          <w:szCs w:val="24"/>
        </w:rPr>
      </w:pPr>
    </w:p>
    <w:p>
      <w:pPr>
        <w:pStyle w:val="style0"/>
        <w:tabs>
          <w:tab w:val="left" w:leader="none" w:pos="276"/>
        </w:tabs>
        <w:spacing w:lineRule="auto" w:line="360"/>
        <w:jc w:val="right"/>
        <w:rPr>
          <w:rFonts w:ascii="Times New Roman" w:cs="Times New Roman" w:hAnsi="Times New Roman"/>
          <w:b/>
          <w:sz w:val="24"/>
          <w:szCs w:val="24"/>
        </w:rPr>
      </w:pPr>
      <w:r>
        <w:rPr>
          <w:rFonts w:ascii="Times New Roman" w:cs="Times New Roman" w:hAnsi="Times New Roman"/>
          <w:b/>
          <w:sz w:val="24"/>
          <w:szCs w:val="24"/>
        </w:rPr>
        <w:t>JULY, 2025</w:t>
      </w:r>
    </w:p>
    <w:p>
      <w:pPr>
        <w:pStyle w:val="style0"/>
        <w:tabs>
          <w:tab w:val="left" w:leader="none" w:pos="276"/>
        </w:tabs>
        <w:spacing w:lineRule="auto" w:line="360"/>
        <w:jc w:val="right"/>
        <w:rPr>
          <w:rFonts w:ascii="Times New Roman" w:cs="Times New Roman" w:hAnsi="Times New Roman"/>
          <w:b/>
          <w:sz w:val="24"/>
          <w:szCs w:val="24"/>
        </w:rPr>
      </w:pPr>
      <w:r>
        <w:rPr>
          <w:rFonts w:ascii="Times New Roman" w:cs="Times New Roman" w:hAnsi="Times New Roman"/>
          <w:b/>
          <w:sz w:val="24"/>
          <w:szCs w:val="24"/>
        </w:rPr>
        <w:t>AMBO, ETHIOPIA</w:t>
      </w:r>
    </w:p>
    <w:p>
      <w:pPr>
        <w:pStyle w:val="style0"/>
        <w:tabs>
          <w:tab w:val="left" w:leader="none" w:pos="276"/>
        </w:tabs>
        <w:spacing w:lineRule="auto" w:line="360"/>
        <w:jc w:val="right"/>
        <w:rPr>
          <w:rFonts w:ascii="Times New Roman" w:cs="Times New Roman" w:hAnsi="Times New Roman"/>
          <w:b/>
          <w:i/>
          <w:sz w:val="28"/>
          <w:szCs w:val="28"/>
        </w:rPr>
        <w:sectPr>
          <w:footerReference w:type="even" r:id="rId3"/>
          <w:footerReference w:type="first" r:id="rId4"/>
          <w:pgSz w:w="12240" w:h="15840" w:orient="portrait"/>
          <w:pgMar w:top="1440" w:right="1440" w:bottom="1440" w:left="1440" w:header="720" w:footer="720" w:gutter="0"/>
          <w:cols w:space="720"/>
          <w:titlePg/>
          <w:docGrid w:linePitch="360"/>
        </w:sectPr>
      </w:pPr>
    </w:p>
    <w:bookmarkStart w:id="1" w:name="_Toc204249749"/>
    <w:p>
      <w:pPr>
        <w:pStyle w:val="style3"/>
        <w:jc w:val="center"/>
        <w:rPr>
          <w:rFonts w:ascii="Times New Roman" w:cs="Times New Roman" w:hAnsi="Times New Roman"/>
          <w:color w:val="auto"/>
          <w:sz w:val="28"/>
          <w:szCs w:val="24"/>
        </w:rPr>
      </w:pPr>
      <w:r>
        <w:rPr>
          <w:rFonts w:ascii="Times New Roman" w:cs="Times New Roman" w:hAnsi="Times New Roman"/>
          <w:color w:val="auto"/>
          <w:sz w:val="28"/>
          <w:szCs w:val="24"/>
        </w:rPr>
        <w:t>CERTIFICATION SHEET</w:t>
      </w:r>
      <w:bookmarkEnd w:id="1"/>
    </w:p>
    <w:p>
      <w:pPr>
        <w:pStyle w:val="style0"/>
        <w:spacing w:lineRule="auto" w:line="360"/>
        <w:jc w:val="both"/>
        <w:rPr>
          <w:rFonts w:ascii="Times New Roman" w:cs="Times New Roman" w:hAnsi="Times New Roman"/>
          <w:sz w:val="24"/>
        </w:rPr>
      </w:pPr>
      <w:r>
        <w:rPr>
          <w:rFonts w:ascii="Times New Roman" w:cs="Times New Roman" w:hAnsi="Times New Roman"/>
          <w:sz w:val="24"/>
        </w:rPr>
        <w:t>As a thesis research advisor, I have read and evaluated this thesis prepared under my guidance by Zewudu Gudisa Megersa, entitled Voluntary Tax  Compliance Of  Category A taxpayers: evidence from Burayu  City. I recommend that it be submitted as fulfilling the thesis requirement.</w:t>
      </w:r>
    </w:p>
    <w:p>
      <w:pPr>
        <w:pStyle w:val="style0"/>
        <w:spacing w:lineRule="auto" w:line="360"/>
        <w:jc w:val="both"/>
        <w:rPr>
          <w:rFonts w:ascii="Times New Roman" w:cs="Times New Roman" w:hAnsi="Times New Roman"/>
          <w:sz w:val="24"/>
        </w:rPr>
      </w:pPr>
      <w:r>
        <w:rPr>
          <w:rFonts w:ascii="Times New Roman" w:cs="Times New Roman" w:hAnsi="Times New Roman"/>
          <w:sz w:val="24"/>
        </w:rPr>
        <w:t xml:space="preserve">Name of advisor                  signature                           date </w:t>
      </w:r>
    </w:p>
    <w:p>
      <w:pPr>
        <w:pStyle w:val="style0"/>
        <w:spacing w:lineRule="auto" w:line="360"/>
        <w:jc w:val="both"/>
        <w:rPr>
          <w:rFonts w:ascii="Times New Roman" w:cs="Times New Roman" w:hAnsi="Times New Roman"/>
          <w:sz w:val="24"/>
        </w:rPr>
      </w:pPr>
      <w:r>
        <w:rPr>
          <w:rFonts w:ascii="Times New Roman" w:cs="Times New Roman" w:hAnsi="Times New Roman"/>
          <w:sz w:val="24"/>
        </w:rPr>
        <w:t xml:space="preserve">        Olani Bekele                      </w:t>
      </w:r>
      <w:r>
        <w:rPr>
          <w:rFonts w:ascii="Times New Roman" w:cs="Times New Roman" w:eastAsia="DengXian" w:hAnsi="Times New Roman"/>
          <w:noProof/>
          <w:u w:val="single"/>
        </w:rPr>
        <w:drawing>
          <wp:inline distT="0" distB="0" distL="0" distR="0">
            <wp:extent cx="581025" cy="447675"/>
            <wp:effectExtent l="0" t="0" r="9525" b="9525"/>
            <wp:docPr id="1028" name="Picture 16"/>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 name="Picture 16"/>
                    <pic:cNvPicPr/>
                  </pic:nvPicPr>
                  <pic:blipFill rotWithShape="true">
                    <a:blip r:embed="rId5" cstate="print">
                      <a:extLst>
                        <a:ext uri="{28A0092B-C50C-407E-A947-70E740481C1C}">
                          <a14:useLocalDpi xmlns:a14="http://schemas.microsoft.com/office/drawing/2010/main" val="0"/>
                        </a:ext>
                      </a:extLst>
                    </a:blip>
                    <a:srcRect l="0" t="0" r="0" b="0"/>
                    <a:stretch>
                      <a:fillRect/>
                    </a:stretch>
                  </pic:blipFill>
                  <pic:spPr>
                    <a:xfrm>
                      <a:off x="0" y="0"/>
                      <a:ext cx="581025" cy="447675"/>
                    </a:xfrm>
                    <a:prstGeom prst="rect">
                      <a:avLst/>
                    </a:prstGeom>
                  </pic:spPr>
                </pic:pic>
              </a:graphicData>
            </a:graphic>
          </wp:inline>
        </w:drawing>
      </w:r>
      <w:r>
        <w:rPr>
          <w:rFonts w:ascii="Times New Roman" w:cs="Times New Roman" w:hAnsi="Times New Roman"/>
          <w:u w:val="single"/>
        </w:rPr>
        <w:t xml:space="preserve">               </w:t>
      </w:r>
      <w:r>
        <w:rPr>
          <w:rFonts w:ascii="Times New Roman" w:cs="Times New Roman" w:hAnsi="Times New Roman"/>
          <w:sz w:val="24"/>
        </w:rPr>
        <w:t xml:space="preserve">                      July 2025</w:t>
      </w:r>
    </w:p>
    <w:p>
      <w:pPr>
        <w:pStyle w:val="style0"/>
        <w:spacing w:lineRule="auto" w:line="360"/>
        <w:jc w:val="both"/>
        <w:rPr>
          <w:rFonts w:ascii="Times New Roman" w:cs="Times New Roman" w:hAnsi="Times New Roman"/>
          <w:sz w:val="24"/>
        </w:rPr>
      </w:pPr>
      <w:r>
        <w:rPr>
          <w:rFonts w:ascii="Times New Roman" w:cs="Times New Roman" w:hAnsi="Times New Roman"/>
          <w:sz w:val="24"/>
        </w:rPr>
        <w:t>As mentioned of the Board of Examiners of the M.Sc. thesis open defense examined, we certified that we have read and evaluated the thesis prepared by Zewudu Gudisa and examined the candidate. We recommend that the thesis be accepted as fulfilling the thesis requirements for the degree of Master of Art in Accounting and Finance.</w:t>
      </w:r>
    </w:p>
    <w:p>
      <w:pPr>
        <w:pStyle w:val="style0"/>
        <w:spacing w:lineRule="auto" w:line="360"/>
        <w:jc w:val="both"/>
        <w:rPr>
          <w:rFonts w:ascii="Times New Roman" w:cs="Times New Roman" w:hAnsi="Times New Roman"/>
          <w:sz w:val="24"/>
        </w:rPr>
      </w:pPr>
      <w:r>
        <w:rPr>
          <w:rFonts w:ascii="Times New Roman" w:cs="Times New Roman" w:hAnsi="Times New Roman"/>
          <w:sz w:val="24"/>
        </w:rPr>
        <w:t>____________________         _______________         _______________</w:t>
      </w:r>
    </w:p>
    <w:p>
      <w:pPr>
        <w:pStyle w:val="style0"/>
        <w:spacing w:lineRule="auto" w:line="360"/>
        <w:jc w:val="both"/>
        <w:rPr>
          <w:rFonts w:ascii="Times New Roman" w:cs="Times New Roman" w:hAnsi="Times New Roman"/>
          <w:sz w:val="24"/>
        </w:rPr>
      </w:pPr>
      <w:r>
        <w:rPr>
          <w:rFonts w:ascii="Times New Roman" w:cs="Times New Roman" w:hAnsi="Times New Roman"/>
          <w:sz w:val="24"/>
        </w:rPr>
        <w:t>Chairperson                                           Signature                            Date</w:t>
      </w:r>
    </w:p>
    <w:p>
      <w:pPr>
        <w:pStyle w:val="style0"/>
        <w:spacing w:lineRule="auto" w:line="360"/>
        <w:jc w:val="both"/>
        <w:rPr>
          <w:rFonts w:ascii="Times New Roman" w:cs="Times New Roman" w:hAnsi="Times New Roman"/>
          <w:sz w:val="24"/>
        </w:rPr>
      </w:pPr>
      <w:r>
        <w:rPr>
          <w:rFonts w:ascii="Times New Roman" w:cs="Times New Roman" w:hAnsi="Times New Roman"/>
          <w:sz w:val="24"/>
        </w:rPr>
        <w:t>________________________          __________________         __________________</w:t>
      </w:r>
    </w:p>
    <w:p>
      <w:pPr>
        <w:pStyle w:val="style0"/>
        <w:spacing w:lineRule="auto" w:line="360"/>
        <w:jc w:val="both"/>
        <w:rPr>
          <w:rFonts w:ascii="Times New Roman" w:cs="Times New Roman" w:hAnsi="Times New Roman"/>
          <w:sz w:val="24"/>
        </w:rPr>
      </w:pPr>
      <w:r>
        <w:rPr>
          <w:rFonts w:ascii="Times New Roman" w:cs="Times New Roman" w:hAnsi="Times New Roman"/>
          <w:sz w:val="24"/>
        </w:rPr>
        <w:t>Internal Examiner                                Signature                              Date</w:t>
      </w:r>
    </w:p>
    <w:p>
      <w:pPr>
        <w:pStyle w:val="style0"/>
        <w:spacing w:lineRule="auto" w:line="360"/>
        <w:jc w:val="both"/>
        <w:rPr>
          <w:rFonts w:ascii="Times New Roman" w:cs="Times New Roman" w:hAnsi="Times New Roman"/>
          <w:sz w:val="24"/>
        </w:rPr>
      </w:pPr>
      <w:r>
        <w:rPr>
          <w:rFonts w:ascii="Times New Roman" w:cs="Times New Roman" w:hAnsi="Times New Roman"/>
          <w:sz w:val="24"/>
        </w:rPr>
        <w:t>________________________           __________________       __________________</w:t>
      </w:r>
    </w:p>
    <w:p>
      <w:pPr>
        <w:pStyle w:val="style0"/>
        <w:spacing w:lineRule="auto" w:line="360"/>
        <w:jc w:val="both"/>
        <w:rPr>
          <w:rFonts w:ascii="Times New Roman" w:cs="Times New Roman" w:hAnsi="Times New Roman"/>
          <w:sz w:val="28"/>
          <w:szCs w:val="24"/>
        </w:rPr>
      </w:pPr>
      <w:r>
        <w:rPr>
          <w:rFonts w:ascii="Times New Roman" w:cs="Times New Roman" w:hAnsi="Times New Roman"/>
          <w:sz w:val="24"/>
        </w:rPr>
        <w:t xml:space="preserve">External Examiner                                Signature                             Date  </w:t>
      </w:r>
    </w:p>
    <w:p>
      <w:pPr>
        <w:pStyle w:val="style0"/>
        <w:spacing w:lineRule="auto" w:line="360"/>
        <w:rPr>
          <w:rFonts w:ascii="Times New Roman" w:cs="Times New Roman" w:hAnsi="Times New Roman"/>
          <w:b/>
          <w:sz w:val="24"/>
          <w:szCs w:val="24"/>
        </w:rPr>
      </w:pPr>
    </w:p>
    <w:p>
      <w:pPr>
        <w:pStyle w:val="style0"/>
        <w:spacing w:lineRule="auto" w:line="360"/>
        <w:rPr>
          <w:rFonts w:ascii="Times New Roman" w:cs="Times New Roman" w:hAnsi="Times New Roman"/>
          <w:b/>
          <w:sz w:val="24"/>
          <w:szCs w:val="24"/>
        </w:rPr>
      </w:pPr>
    </w:p>
    <w:p>
      <w:pPr>
        <w:pStyle w:val="style0"/>
        <w:spacing w:lineRule="auto" w:line="360"/>
        <w:rPr>
          <w:rFonts w:ascii="Times New Roman" w:cs="Times New Roman" w:hAnsi="Times New Roman"/>
          <w:b/>
          <w:sz w:val="24"/>
          <w:szCs w:val="24"/>
        </w:rPr>
      </w:pPr>
    </w:p>
    <w:p>
      <w:pPr>
        <w:pStyle w:val="style0"/>
        <w:spacing w:lineRule="auto" w:line="360"/>
        <w:rPr>
          <w:rFonts w:ascii="Times New Roman" w:cs="Times New Roman" w:hAnsi="Times New Roman"/>
          <w:b/>
          <w:sz w:val="24"/>
          <w:szCs w:val="24"/>
        </w:rPr>
      </w:pPr>
    </w:p>
    <w:p>
      <w:pPr>
        <w:pStyle w:val="style0"/>
        <w:spacing w:lineRule="auto" w:line="360"/>
        <w:rPr>
          <w:rFonts w:ascii="Times New Roman" w:cs="Times New Roman" w:hAnsi="Times New Roman"/>
          <w:b/>
          <w:sz w:val="24"/>
          <w:szCs w:val="24"/>
        </w:rPr>
      </w:pPr>
    </w:p>
    <w:p>
      <w:pPr>
        <w:pStyle w:val="style0"/>
        <w:spacing w:lineRule="auto" w:line="360"/>
        <w:jc w:val="both"/>
        <w:rPr>
          <w:rFonts w:ascii="Times New Roman" w:cs="Times New Roman" w:hAnsi="Times New Roman"/>
          <w:sz w:val="24"/>
          <w:szCs w:val="24"/>
        </w:rPr>
      </w:pPr>
    </w:p>
    <w:bookmarkStart w:id="2" w:name="_Toc204249750"/>
    <w:p>
      <w:pPr>
        <w:pStyle w:val="style3"/>
        <w:jc w:val="center"/>
        <w:rPr>
          <w:rFonts w:ascii="Times New Roman" w:cs="Times New Roman" w:hAnsi="Times New Roman"/>
          <w:color w:val="auto"/>
          <w:sz w:val="24"/>
        </w:rPr>
      </w:pPr>
      <w:r>
        <w:rPr>
          <w:rFonts w:ascii="Times New Roman" w:cs="Times New Roman" w:hAnsi="Times New Roman"/>
          <w:color w:val="auto"/>
          <w:sz w:val="24"/>
        </w:rPr>
        <w:t>APPROVAL SHEET</w:t>
      </w:r>
      <w:bookmarkEnd w:id="2"/>
    </w:p>
    <w:p>
      <w:pPr>
        <w:pStyle w:val="style0"/>
        <w:widowControl w:val="false"/>
        <w:autoSpaceDE w:val="false"/>
        <w:autoSpaceDN w:val="false"/>
        <w:spacing w:before="302" w:after="0" w:lineRule="auto" w:line="360"/>
        <w:ind w:right="100"/>
        <w:rPr>
          <w:rFonts w:ascii="Times New Roman" w:cs="Times New Roman" w:eastAsia="Times New Roman" w:hAnsi="Times New Roman"/>
          <w:b/>
          <w:sz w:val="24"/>
          <w:szCs w:val="24"/>
        </w:rPr>
      </w:pPr>
      <w:r>
        <w:rPr>
          <w:rFonts w:ascii="Times New Roman" w:cs="Times New Roman" w:eastAsia="Times New Roman" w:hAnsi="Times New Roman"/>
          <w:b/>
          <w:sz w:val="24"/>
          <w:szCs w:val="24"/>
        </w:rPr>
        <w:t xml:space="preserve">Submitted by: </w:t>
      </w:r>
      <w:r>
        <w:rPr>
          <w:rFonts w:ascii="Times New Roman" w:cs="Times New Roman" w:eastAsia="Times New Roman" w:hAnsi="Times New Roman"/>
          <w:sz w:val="24"/>
          <w:szCs w:val="24"/>
          <w:u w:val="single"/>
        </w:rPr>
        <w:tab/>
      </w:r>
      <w:r>
        <w:rPr>
          <w:rFonts w:ascii="Times New Roman" w:cs="Times New Roman" w:eastAsia="Times New Roman" w:hAnsi="Times New Roman"/>
          <w:sz w:val="24"/>
          <w:szCs w:val="24"/>
          <w:u w:val="single"/>
        </w:rPr>
        <w:tab/>
      </w:r>
      <w:r>
        <w:rPr>
          <w:rFonts w:ascii="Times New Roman" w:cs="Times New Roman" w:eastAsia="Times New Roman" w:hAnsi="Times New Roman"/>
          <w:sz w:val="24"/>
          <w:szCs w:val="24"/>
          <w:u w:val="single"/>
        </w:rPr>
        <w:tab/>
      </w:r>
      <w:r>
        <w:rPr>
          <w:rFonts w:ascii="Times New Roman" w:cs="Times New Roman" w:eastAsia="Times New Roman" w:hAnsi="Times New Roman"/>
          <w:sz w:val="24"/>
          <w:szCs w:val="24"/>
        </w:rPr>
        <w:t xml:space="preserve">   </w:t>
      </w:r>
      <w:r>
        <w:rPr>
          <w:rFonts w:ascii="Times New Roman" w:cs="Times New Roman" w:eastAsia="Times New Roman" w:hAnsi="Times New Roman"/>
          <w:sz w:val="24"/>
          <w:szCs w:val="24"/>
          <w:u w:val="single"/>
        </w:rPr>
        <w:tab/>
      </w:r>
      <w:r>
        <w:rPr>
          <w:rFonts w:ascii="Times New Roman" w:cs="Times New Roman" w:eastAsia="Times New Roman" w:hAnsi="Times New Roman"/>
          <w:sz w:val="24"/>
          <w:szCs w:val="24"/>
          <w:u w:val="single"/>
        </w:rPr>
        <w:tab/>
      </w:r>
      <w:r>
        <w:rPr>
          <w:rFonts w:ascii="Times New Roman" w:cs="Times New Roman" w:eastAsia="Times New Roman" w:hAnsi="Times New Roman"/>
          <w:sz w:val="24"/>
          <w:szCs w:val="24"/>
          <w:u w:val="single"/>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u w:val="single"/>
        </w:rPr>
        <w:tab/>
      </w:r>
    </w:p>
    <w:p>
      <w:pPr>
        <w:pStyle w:val="style0"/>
        <w:widowControl w:val="false"/>
        <w:autoSpaceDE w:val="false"/>
        <w:autoSpaceDN w:val="false"/>
        <w:spacing w:after="0" w:lineRule="auto" w:line="360"/>
        <w:ind w:right="100"/>
        <w:rPr>
          <w:rFonts w:ascii="Times New Roman" w:cs="Times New Roman" w:eastAsia="SimSun" w:hAnsi="Times New Roman"/>
          <w:sz w:val="24"/>
          <w:szCs w:val="24"/>
        </w:rPr>
      </w:pPr>
      <w:r>
        <w:rPr>
          <w:rFonts w:ascii="Times New Roman" w:cs="Times New Roman" w:eastAsia="SimSun" w:hAnsi="Times New Roman"/>
          <w:sz w:val="24"/>
          <w:szCs w:val="24"/>
        </w:rPr>
        <w:t>1. PG Candidate</w:t>
      </w:r>
      <w:r>
        <w:rPr>
          <w:rFonts w:ascii="Times New Roman" w:cs="Times New Roman" w:eastAsia="SimSun" w:hAnsi="Times New Roman"/>
          <w:sz w:val="24"/>
          <w:szCs w:val="24"/>
        </w:rPr>
        <w:tab/>
      </w:r>
      <w:r>
        <w:rPr>
          <w:rFonts w:ascii="Times New Roman" w:cs="Times New Roman" w:eastAsia="SimSun" w:hAnsi="Times New Roman"/>
          <w:sz w:val="24"/>
          <w:szCs w:val="24"/>
        </w:rPr>
        <w:tab/>
      </w:r>
      <w:r>
        <w:rPr>
          <w:rFonts w:ascii="Times New Roman" w:cs="Times New Roman" w:eastAsia="SimSun" w:hAnsi="Times New Roman"/>
          <w:sz w:val="24"/>
          <w:szCs w:val="24"/>
        </w:rPr>
        <w:tab/>
      </w:r>
      <w:r>
        <w:rPr>
          <w:rFonts w:ascii="Times New Roman" w:cs="Times New Roman" w:eastAsia="SimSun" w:hAnsi="Times New Roman"/>
          <w:sz w:val="24"/>
          <w:szCs w:val="24"/>
        </w:rPr>
        <w:t>Signature</w:t>
      </w:r>
      <w:r>
        <w:rPr>
          <w:rFonts w:ascii="Times New Roman" w:cs="Times New Roman" w:eastAsia="SimSun" w:hAnsi="Times New Roman"/>
          <w:sz w:val="24"/>
          <w:szCs w:val="24"/>
        </w:rPr>
        <w:tab/>
      </w:r>
      <w:r>
        <w:rPr>
          <w:rFonts w:ascii="Times New Roman" w:cs="Times New Roman" w:eastAsia="SimSun" w:hAnsi="Times New Roman"/>
          <w:sz w:val="24"/>
          <w:szCs w:val="24"/>
        </w:rPr>
        <w:tab/>
      </w:r>
      <w:r>
        <w:rPr>
          <w:rFonts w:ascii="Times New Roman" w:cs="Times New Roman" w:eastAsia="SimSun" w:hAnsi="Times New Roman"/>
          <w:sz w:val="24"/>
          <w:szCs w:val="24"/>
        </w:rPr>
        <w:tab/>
      </w:r>
      <w:r>
        <w:rPr>
          <w:rFonts w:ascii="Times New Roman" w:cs="Times New Roman" w:eastAsia="SimSun" w:hAnsi="Times New Roman"/>
          <w:sz w:val="24"/>
          <w:szCs w:val="24"/>
        </w:rPr>
        <w:tab/>
      </w:r>
      <w:r>
        <w:rPr>
          <w:rFonts w:ascii="Times New Roman" w:cs="Times New Roman" w:eastAsia="SimSun" w:hAnsi="Times New Roman"/>
          <w:sz w:val="24"/>
          <w:szCs w:val="24"/>
        </w:rPr>
        <w:t>Date</w:t>
      </w:r>
    </w:p>
    <w:p>
      <w:pPr>
        <w:pStyle w:val="style0"/>
        <w:widowControl w:val="false"/>
        <w:autoSpaceDE w:val="false"/>
        <w:autoSpaceDN w:val="false"/>
        <w:spacing w:after="0" w:lineRule="auto" w:line="360"/>
        <w:ind w:right="100"/>
        <w:rPr>
          <w:rFonts w:ascii="Times New Roman" w:cs="Times New Roman" w:eastAsia="SimSun" w:hAnsi="Times New Roman"/>
          <w:b/>
          <w:sz w:val="24"/>
          <w:szCs w:val="24"/>
        </w:rPr>
      </w:pPr>
      <w:r>
        <w:rPr>
          <w:rFonts w:ascii="Times New Roman" w:cs="Times New Roman" w:eastAsia="SimSun" w:hAnsi="Times New Roman"/>
          <w:b/>
          <w:sz w:val="24"/>
          <w:szCs w:val="24"/>
        </w:rPr>
        <w:t>Approved by:</w:t>
      </w:r>
    </w:p>
    <w:p>
      <w:pPr>
        <w:pStyle w:val="style0"/>
        <w:widowControl w:val="false"/>
        <w:autoSpaceDE w:val="false"/>
        <w:autoSpaceDN w:val="false"/>
        <w:spacing w:after="0" w:lineRule="auto" w:line="360"/>
        <w:ind w:right="100"/>
        <w:rPr>
          <w:rFonts w:ascii="Times New Roman" w:cs="Times New Roman" w:eastAsia="SimSun" w:hAnsi="Times New Roman"/>
          <w:sz w:val="24"/>
          <w:szCs w:val="24"/>
        </w:rPr>
      </w:pPr>
      <w:r>
        <w:rPr>
          <w:rFonts w:ascii="Times New Roman" w:cs="Times New Roman" w:eastAsia="SimSun" w:hAnsi="Times New Roman"/>
          <w:sz w:val="24"/>
          <w:szCs w:val="24"/>
        </w:rPr>
        <w:t>2. Major Advisor</w:t>
      </w:r>
    </w:p>
    <w:p>
      <w:pPr>
        <w:pStyle w:val="style0"/>
        <w:tabs>
          <w:tab w:val="left" w:leader="none" w:pos="4065"/>
        </w:tabs>
        <w:spacing w:after="0" w:lineRule="auto" w:line="360"/>
        <w:jc w:val="both"/>
        <w:rPr>
          <w:rFonts w:ascii="Times New Roman" w:cs="Times New Roman" w:eastAsia="Calibri" w:hAnsi="Times New Roman"/>
          <w:sz w:val="24"/>
          <w:szCs w:val="24"/>
        </w:rPr>
      </w:pPr>
      <w:r>
        <w:rPr>
          <w:rFonts w:ascii="Times New Roman" w:cs="Times New Roman" w:eastAsia="Calibri" w:hAnsi="Times New Roman"/>
          <w:sz w:val="24"/>
          <w:szCs w:val="24"/>
        </w:rPr>
        <w:tab/>
      </w:r>
      <w:r>
        <w:rPr>
          <w:rFonts w:ascii="Times New Roman" w:cs="Times New Roman" w:eastAsia="DengXian" w:hAnsi="Times New Roman"/>
          <w:noProof/>
          <w:sz w:val="24"/>
          <w:szCs w:val="24"/>
        </w:rPr>
        <w:drawing>
          <wp:inline distT="0" distB="0" distL="0" distR="0">
            <wp:extent cx="581025" cy="447675"/>
            <wp:effectExtent l="0" t="0" r="9525" b="9525"/>
            <wp:docPr id="1029" name="Picture 8"/>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 name="Picture 8"/>
                    <pic:cNvPicPr/>
                  </pic:nvPicPr>
                  <pic:blipFill rotWithShape="true">
                    <a:blip r:embed="rId5" cstate="print">
                      <a:extLst>
                        <a:ext uri="{28A0092B-C50C-407E-A947-70E740481C1C}">
                          <a14:useLocalDpi xmlns:a14="http://schemas.microsoft.com/office/drawing/2010/main" val="0"/>
                        </a:ext>
                      </a:extLst>
                    </a:blip>
                    <a:srcRect l="0" t="0" r="0" b="0"/>
                    <a:stretch>
                      <a:fillRect/>
                    </a:stretch>
                  </pic:blipFill>
                  <pic:spPr>
                    <a:xfrm>
                      <a:off x="0" y="0"/>
                      <a:ext cx="581025" cy="447675"/>
                    </a:xfrm>
                    <a:prstGeom prst="rect">
                      <a:avLst/>
                    </a:prstGeom>
                  </pic:spPr>
                </pic:pic>
              </a:graphicData>
            </a:graphic>
          </wp:inline>
        </w:drawing>
      </w:r>
    </w:p>
    <w:p>
      <w:pPr>
        <w:pStyle w:val="style0"/>
        <w:tabs>
          <w:tab w:val="left" w:leader="none" w:pos="7620"/>
        </w:tabs>
        <w:spacing w:after="160" w:lineRule="auto" w:line="360"/>
        <w:jc w:val="both"/>
        <w:rPr>
          <w:rFonts w:ascii="Times New Roman" w:cs="Times New Roman" w:eastAsia="Calibri" w:hAnsi="Times New Roman"/>
          <w:sz w:val="24"/>
          <w:szCs w:val="24"/>
        </w:rPr>
      </w:pPr>
      <w:r>
        <w:rPr>
          <w:rFonts w:ascii="Times New Roman" w:cs="Times New Roman" w:eastAsia="Calibri" w:hAnsi="Times New Roman"/>
          <w:sz w:val="24"/>
          <w:szCs w:val="24"/>
        </w:rPr>
        <w:t xml:space="preserve">       </w:t>
      </w:r>
      <w:r>
        <w:rPr>
          <w:rFonts w:ascii="Times New Roman" w:cs="Times New Roman" w:eastAsia="Calibri" w:hAnsi="Times New Roman"/>
          <w:sz w:val="24"/>
          <w:szCs w:val="24"/>
          <w:u w:val="single"/>
        </w:rPr>
        <w:t xml:space="preserve">Olani Bekele </w:t>
      </w:r>
      <w:r>
        <w:rPr>
          <w:rFonts w:ascii="Times New Roman" w:cs="Times New Roman" w:eastAsia="Calibri" w:hAnsi="Times New Roman"/>
          <w:sz w:val="24"/>
          <w:szCs w:val="24"/>
        </w:rPr>
        <w:t xml:space="preserve">                                   ______________                       </w:t>
      </w:r>
      <w:r>
        <w:rPr>
          <w:rFonts w:ascii="Times New Roman" w:cs="Times New Roman" w:eastAsia="Calibri" w:hAnsi="Times New Roman"/>
          <w:sz w:val="24"/>
          <w:szCs w:val="24"/>
          <w:u w:val="single"/>
        </w:rPr>
        <w:t>July, 2025</w:t>
      </w:r>
    </w:p>
    <w:p>
      <w:pPr>
        <w:pStyle w:val="style0"/>
        <w:widowControl w:val="false"/>
        <w:autoSpaceDE w:val="false"/>
        <w:autoSpaceDN w:val="false"/>
        <w:spacing w:after="0" w:lineRule="auto" w:line="360"/>
        <w:ind w:right="100"/>
        <w:rPr>
          <w:rFonts w:ascii="Times New Roman" w:cs="Times New Roman" w:eastAsia="SimSun" w:hAnsi="Times New Roman"/>
          <w:sz w:val="24"/>
          <w:szCs w:val="24"/>
        </w:rPr>
      </w:pPr>
      <w:r>
        <w:rPr>
          <w:rFonts w:ascii="Times New Roman" w:cs="Times New Roman" w:eastAsia="SimSun" w:hAnsi="Times New Roman"/>
          <w:sz w:val="24"/>
          <w:szCs w:val="24"/>
        </w:rPr>
        <w:t>3. Evaluator 1(External)</w:t>
      </w:r>
    </w:p>
    <w:p>
      <w:pPr>
        <w:pStyle w:val="style0"/>
        <w:widowControl w:val="false"/>
        <w:autoSpaceDE w:val="false"/>
        <w:autoSpaceDN w:val="false"/>
        <w:spacing w:after="0" w:lineRule="auto" w:line="360"/>
        <w:ind w:right="100"/>
        <w:rPr>
          <w:rFonts w:ascii="Times New Roman" w:cs="Times New Roman" w:eastAsia="SimSun" w:hAnsi="Times New Roman"/>
          <w:sz w:val="24"/>
          <w:szCs w:val="24"/>
          <w:u w:val="single"/>
        </w:rPr>
      </w:pPr>
      <w:r>
        <w:rPr>
          <w:rFonts w:ascii="Times New Roman" w:cs="Times New Roman" w:eastAsia="SimSun" w:hAnsi="Times New Roman"/>
          <w:sz w:val="24"/>
          <w:szCs w:val="24"/>
          <w:u w:val="single"/>
        </w:rPr>
        <w:tab/>
      </w:r>
      <w:r>
        <w:rPr>
          <w:rFonts w:ascii="Times New Roman" w:cs="Times New Roman" w:eastAsia="SimSun" w:hAnsi="Times New Roman"/>
          <w:sz w:val="24"/>
          <w:szCs w:val="24"/>
          <w:u w:val="single"/>
        </w:rPr>
        <w:tab/>
      </w:r>
      <w:r>
        <w:rPr>
          <w:rFonts w:ascii="Times New Roman" w:cs="Times New Roman" w:eastAsia="SimSun" w:hAnsi="Times New Roman"/>
          <w:sz w:val="24"/>
          <w:szCs w:val="24"/>
          <w:u w:val="single"/>
        </w:rPr>
        <w:tab/>
      </w:r>
      <w:r>
        <w:rPr>
          <w:rFonts w:ascii="Times New Roman" w:cs="Times New Roman" w:eastAsia="SimSun" w:hAnsi="Times New Roman"/>
          <w:sz w:val="24"/>
          <w:szCs w:val="24"/>
        </w:rPr>
        <w:tab/>
      </w:r>
      <w:r>
        <w:rPr>
          <w:rFonts w:ascii="Times New Roman" w:cs="Times New Roman" w:eastAsia="SimSun" w:hAnsi="Times New Roman"/>
          <w:sz w:val="24"/>
          <w:szCs w:val="24"/>
        </w:rPr>
        <w:tab/>
      </w:r>
      <w:r>
        <w:rPr>
          <w:rFonts w:ascii="Times New Roman" w:cs="Times New Roman" w:eastAsia="SimSun" w:hAnsi="Times New Roman"/>
          <w:sz w:val="24"/>
          <w:szCs w:val="24"/>
        </w:rPr>
        <w:t>Signature</w:t>
      </w:r>
      <w:r>
        <w:rPr>
          <w:rFonts w:ascii="Times New Roman" w:cs="Times New Roman" w:eastAsia="SimSun" w:hAnsi="Times New Roman"/>
          <w:sz w:val="24"/>
          <w:szCs w:val="24"/>
          <w:u w:val="single"/>
        </w:rPr>
        <w:tab/>
      </w:r>
      <w:r>
        <w:rPr>
          <w:rFonts w:ascii="Times New Roman" w:cs="Times New Roman" w:eastAsia="SimSun" w:hAnsi="Times New Roman"/>
          <w:sz w:val="24"/>
          <w:szCs w:val="24"/>
          <w:u w:val="single"/>
        </w:rPr>
        <w:tab/>
      </w:r>
      <w:r>
        <w:rPr>
          <w:rFonts w:ascii="Times New Roman" w:cs="Times New Roman" w:eastAsia="SimSun" w:hAnsi="Times New Roman"/>
          <w:sz w:val="24"/>
          <w:szCs w:val="24"/>
        </w:rPr>
        <w:tab/>
      </w:r>
      <w:r>
        <w:rPr>
          <w:rFonts w:ascii="Times New Roman" w:cs="Times New Roman" w:eastAsia="SimSun" w:hAnsi="Times New Roman"/>
          <w:sz w:val="24"/>
          <w:szCs w:val="24"/>
        </w:rPr>
        <w:t xml:space="preserve">       Date</w:t>
      </w:r>
      <w:r>
        <w:rPr>
          <w:rFonts w:ascii="Times New Roman" w:cs="Times New Roman" w:eastAsia="SimSun" w:hAnsi="Times New Roman"/>
          <w:sz w:val="24"/>
          <w:szCs w:val="24"/>
          <w:u w:val="single"/>
        </w:rPr>
        <w:tab/>
      </w:r>
      <w:r>
        <w:rPr>
          <w:rFonts w:ascii="Times New Roman" w:cs="Times New Roman" w:eastAsia="SimSun" w:hAnsi="Times New Roman"/>
          <w:sz w:val="24"/>
          <w:szCs w:val="24"/>
          <w:u w:val="single"/>
        </w:rPr>
        <w:tab/>
      </w:r>
    </w:p>
    <w:p>
      <w:pPr>
        <w:pStyle w:val="style0"/>
        <w:widowControl w:val="false"/>
        <w:autoSpaceDE w:val="false"/>
        <w:autoSpaceDN w:val="false"/>
        <w:spacing w:after="0" w:lineRule="auto" w:line="360"/>
        <w:ind w:right="100"/>
        <w:rPr>
          <w:rFonts w:ascii="Times New Roman" w:cs="Times New Roman" w:eastAsia="SimSun" w:hAnsi="Times New Roman"/>
          <w:sz w:val="24"/>
          <w:szCs w:val="24"/>
        </w:rPr>
      </w:pPr>
      <w:r>
        <w:rPr>
          <w:rFonts w:ascii="Times New Roman" w:cs="Times New Roman" w:eastAsia="SimSun" w:hAnsi="Times New Roman"/>
          <w:sz w:val="24"/>
          <w:szCs w:val="24"/>
        </w:rPr>
        <w:t>4. Evaluator 2(Internal)</w:t>
      </w:r>
    </w:p>
    <w:p>
      <w:pPr>
        <w:pStyle w:val="style0"/>
        <w:widowControl w:val="false"/>
        <w:autoSpaceDE w:val="false"/>
        <w:autoSpaceDN w:val="false"/>
        <w:spacing w:after="0" w:lineRule="auto" w:line="360"/>
        <w:ind w:right="100"/>
        <w:rPr>
          <w:rFonts w:ascii="Times New Roman" w:cs="Times New Roman" w:eastAsia="SimSun" w:hAnsi="Times New Roman"/>
          <w:sz w:val="24"/>
          <w:szCs w:val="24"/>
          <w:u w:val="single"/>
        </w:rPr>
      </w:pPr>
      <w:r>
        <w:rPr>
          <w:rFonts w:ascii="Times New Roman" w:cs="Times New Roman" w:eastAsia="SimSun" w:hAnsi="Times New Roman"/>
          <w:sz w:val="24"/>
          <w:szCs w:val="24"/>
          <w:u w:val="single"/>
        </w:rPr>
        <w:tab/>
      </w:r>
      <w:r>
        <w:rPr>
          <w:rFonts w:ascii="Times New Roman" w:cs="Times New Roman" w:eastAsia="SimSun" w:hAnsi="Times New Roman"/>
          <w:sz w:val="24"/>
          <w:szCs w:val="24"/>
          <w:u w:val="single"/>
        </w:rPr>
        <w:tab/>
      </w:r>
      <w:r>
        <w:rPr>
          <w:rFonts w:ascii="Times New Roman" w:cs="Times New Roman" w:eastAsia="SimSun" w:hAnsi="Times New Roman"/>
          <w:sz w:val="24"/>
          <w:szCs w:val="24"/>
          <w:u w:val="single"/>
        </w:rPr>
        <w:tab/>
      </w:r>
      <w:r>
        <w:rPr>
          <w:rFonts w:ascii="Times New Roman" w:cs="Times New Roman" w:eastAsia="SimSun" w:hAnsi="Times New Roman"/>
          <w:sz w:val="24"/>
          <w:szCs w:val="24"/>
        </w:rPr>
        <w:tab/>
      </w:r>
      <w:r>
        <w:rPr>
          <w:rFonts w:ascii="Times New Roman" w:cs="Times New Roman" w:eastAsia="SimSun" w:hAnsi="Times New Roman"/>
          <w:sz w:val="24"/>
          <w:szCs w:val="24"/>
        </w:rPr>
        <w:tab/>
      </w:r>
      <w:r>
        <w:rPr>
          <w:rFonts w:ascii="Times New Roman" w:cs="Times New Roman" w:eastAsia="SimSun" w:hAnsi="Times New Roman"/>
          <w:sz w:val="24"/>
          <w:szCs w:val="24"/>
        </w:rPr>
        <w:t>Signature</w:t>
      </w:r>
      <w:r>
        <w:rPr>
          <w:rFonts w:ascii="Times New Roman" w:cs="Times New Roman" w:eastAsia="SimSun" w:hAnsi="Times New Roman"/>
          <w:sz w:val="24"/>
          <w:szCs w:val="24"/>
          <w:u w:val="single"/>
        </w:rPr>
        <w:tab/>
      </w:r>
      <w:r>
        <w:rPr>
          <w:rFonts w:ascii="Times New Roman" w:cs="Times New Roman" w:eastAsia="SimSun" w:hAnsi="Times New Roman"/>
          <w:sz w:val="24"/>
          <w:szCs w:val="24"/>
          <w:u w:val="single"/>
        </w:rPr>
        <w:tab/>
      </w:r>
      <w:r>
        <w:rPr>
          <w:rFonts w:ascii="Times New Roman" w:cs="Times New Roman" w:eastAsia="SimSun" w:hAnsi="Times New Roman"/>
          <w:sz w:val="24"/>
          <w:szCs w:val="24"/>
        </w:rPr>
        <w:tab/>
      </w:r>
      <w:r>
        <w:rPr>
          <w:rFonts w:ascii="Times New Roman" w:cs="Times New Roman" w:eastAsia="SimSun" w:hAnsi="Times New Roman"/>
          <w:sz w:val="24"/>
          <w:szCs w:val="24"/>
        </w:rPr>
        <w:t xml:space="preserve">     Date</w:t>
      </w:r>
      <w:r>
        <w:rPr>
          <w:rFonts w:ascii="Times New Roman" w:cs="Times New Roman" w:eastAsia="SimSun" w:hAnsi="Times New Roman"/>
          <w:sz w:val="24"/>
          <w:szCs w:val="24"/>
          <w:u w:val="single"/>
        </w:rPr>
        <w:tab/>
      </w:r>
      <w:r>
        <w:rPr>
          <w:rFonts w:ascii="Times New Roman" w:cs="Times New Roman" w:eastAsia="SimSun" w:hAnsi="Times New Roman"/>
          <w:sz w:val="24"/>
          <w:szCs w:val="24"/>
          <w:u w:val="single"/>
        </w:rPr>
        <w:tab/>
      </w:r>
    </w:p>
    <w:p>
      <w:pPr>
        <w:pStyle w:val="style0"/>
        <w:widowControl w:val="false"/>
        <w:autoSpaceDE w:val="false"/>
        <w:autoSpaceDN w:val="false"/>
        <w:spacing w:after="0" w:lineRule="auto" w:line="360"/>
        <w:ind w:right="100"/>
        <w:rPr>
          <w:rFonts w:ascii="Times New Roman" w:cs="Times New Roman" w:eastAsia="SimSun" w:hAnsi="Times New Roman"/>
          <w:sz w:val="24"/>
          <w:szCs w:val="24"/>
        </w:rPr>
      </w:pPr>
      <w:r>
        <w:rPr>
          <w:rFonts w:ascii="Times New Roman" w:cs="Times New Roman" w:eastAsia="SimSun" w:hAnsi="Times New Roman"/>
          <w:sz w:val="24"/>
          <w:szCs w:val="24"/>
        </w:rPr>
        <w:t xml:space="preserve">5. Coordinator of the department </w:t>
      </w:r>
    </w:p>
    <w:p>
      <w:pPr>
        <w:pStyle w:val="style0"/>
        <w:widowControl w:val="false"/>
        <w:autoSpaceDE w:val="false"/>
        <w:autoSpaceDN w:val="false"/>
        <w:spacing w:after="0" w:lineRule="auto" w:line="360"/>
        <w:ind w:right="100"/>
        <w:rPr>
          <w:rFonts w:ascii="Times New Roman" w:cs="Times New Roman" w:eastAsia="SimSun" w:hAnsi="Times New Roman"/>
          <w:sz w:val="24"/>
          <w:szCs w:val="24"/>
          <w:u w:val="single"/>
        </w:rPr>
      </w:pPr>
      <w:r>
        <w:rPr>
          <w:rFonts w:ascii="Times New Roman" w:cs="Times New Roman" w:eastAsia="SimSun" w:hAnsi="Times New Roman"/>
          <w:sz w:val="24"/>
          <w:szCs w:val="24"/>
          <w:u w:val="single"/>
        </w:rPr>
        <w:tab/>
      </w:r>
      <w:r>
        <w:rPr>
          <w:rFonts w:ascii="Times New Roman" w:cs="Times New Roman" w:eastAsia="SimSun" w:hAnsi="Times New Roman"/>
          <w:sz w:val="24"/>
          <w:szCs w:val="24"/>
          <w:u w:val="single"/>
        </w:rPr>
        <w:tab/>
      </w:r>
      <w:r>
        <w:rPr>
          <w:rFonts w:ascii="Times New Roman" w:cs="Times New Roman" w:eastAsia="SimSun" w:hAnsi="Times New Roman"/>
          <w:sz w:val="24"/>
          <w:szCs w:val="24"/>
          <w:u w:val="single"/>
        </w:rPr>
        <w:tab/>
      </w:r>
      <w:r>
        <w:rPr>
          <w:rFonts w:ascii="Times New Roman" w:cs="Times New Roman" w:eastAsia="SimSun" w:hAnsi="Times New Roman"/>
          <w:sz w:val="24"/>
          <w:szCs w:val="24"/>
        </w:rPr>
        <w:tab/>
      </w:r>
      <w:r>
        <w:rPr>
          <w:rFonts w:ascii="Times New Roman" w:cs="Times New Roman" w:eastAsia="SimSun" w:hAnsi="Times New Roman"/>
          <w:sz w:val="24"/>
          <w:szCs w:val="24"/>
        </w:rPr>
        <w:tab/>
      </w:r>
      <w:r>
        <w:rPr>
          <w:rFonts w:ascii="Times New Roman" w:cs="Times New Roman" w:eastAsia="SimSun" w:hAnsi="Times New Roman"/>
          <w:sz w:val="24"/>
          <w:szCs w:val="24"/>
        </w:rPr>
        <w:t>Signature</w:t>
      </w:r>
      <w:r>
        <w:rPr>
          <w:rFonts w:ascii="Times New Roman" w:cs="Times New Roman" w:eastAsia="SimSun" w:hAnsi="Times New Roman"/>
          <w:sz w:val="24"/>
          <w:szCs w:val="24"/>
          <w:u w:val="single"/>
        </w:rPr>
        <w:tab/>
      </w:r>
      <w:r>
        <w:rPr>
          <w:rFonts w:ascii="Times New Roman" w:cs="Times New Roman" w:eastAsia="SimSun" w:hAnsi="Times New Roman"/>
          <w:sz w:val="24"/>
          <w:szCs w:val="24"/>
          <w:u w:val="single"/>
        </w:rPr>
        <w:tab/>
      </w:r>
      <w:r>
        <w:rPr>
          <w:rFonts w:ascii="Times New Roman" w:cs="Times New Roman" w:eastAsia="SimSun" w:hAnsi="Times New Roman"/>
          <w:sz w:val="24"/>
          <w:szCs w:val="24"/>
        </w:rPr>
        <w:tab/>
      </w:r>
      <w:r>
        <w:rPr>
          <w:rFonts w:ascii="Times New Roman" w:cs="Times New Roman" w:eastAsia="SimSun" w:hAnsi="Times New Roman"/>
          <w:sz w:val="24"/>
          <w:szCs w:val="24"/>
        </w:rPr>
        <w:t xml:space="preserve">     Date</w:t>
      </w:r>
      <w:r>
        <w:rPr>
          <w:rFonts w:ascii="Times New Roman" w:cs="Times New Roman" w:eastAsia="SimSun" w:hAnsi="Times New Roman"/>
          <w:sz w:val="24"/>
          <w:szCs w:val="24"/>
          <w:u w:val="single"/>
        </w:rPr>
        <w:tab/>
      </w:r>
      <w:r>
        <w:rPr>
          <w:rFonts w:ascii="Times New Roman" w:cs="Times New Roman" w:eastAsia="SimSun" w:hAnsi="Times New Roman"/>
          <w:sz w:val="24"/>
          <w:szCs w:val="24"/>
          <w:u w:val="single"/>
        </w:rPr>
        <w:tab/>
      </w:r>
    </w:p>
    <w:p>
      <w:pPr>
        <w:pStyle w:val="style0"/>
        <w:widowControl w:val="false"/>
        <w:tabs>
          <w:tab w:val="left" w:leader="none" w:pos="2970"/>
        </w:tabs>
        <w:autoSpaceDE w:val="false"/>
        <w:autoSpaceDN w:val="false"/>
        <w:spacing w:after="0" w:lineRule="auto" w:line="360"/>
        <w:ind w:right="100"/>
        <w:rPr>
          <w:rFonts w:ascii="Times New Roman" w:cs="Times New Roman" w:eastAsia="SimSun" w:hAnsi="Times New Roman"/>
          <w:sz w:val="24"/>
          <w:szCs w:val="24"/>
        </w:rPr>
      </w:pPr>
      <w:r>
        <w:rPr>
          <w:rFonts w:ascii="Times New Roman" w:cs="Times New Roman" w:eastAsia="SimSun" w:hAnsi="Times New Roman"/>
          <w:sz w:val="24"/>
          <w:szCs w:val="24"/>
        </w:rPr>
        <w:t>6. Head, Department</w:t>
      </w:r>
      <w:r>
        <w:rPr>
          <w:rFonts w:ascii="Times New Roman" w:cs="Times New Roman" w:eastAsia="SimSun" w:hAnsi="Times New Roman"/>
          <w:sz w:val="24"/>
          <w:szCs w:val="24"/>
        </w:rPr>
        <w:tab/>
      </w:r>
    </w:p>
    <w:p>
      <w:pPr>
        <w:pStyle w:val="style0"/>
        <w:widowControl w:val="false"/>
        <w:autoSpaceDE w:val="false"/>
        <w:autoSpaceDN w:val="false"/>
        <w:spacing w:after="0" w:lineRule="auto" w:line="360"/>
        <w:ind w:right="100"/>
        <w:rPr>
          <w:rFonts w:ascii="Times New Roman" w:cs="Times New Roman" w:eastAsia="SimSun" w:hAnsi="Times New Roman"/>
          <w:sz w:val="24"/>
          <w:szCs w:val="24"/>
          <w:u w:val="single"/>
        </w:rPr>
      </w:pPr>
      <w:r>
        <w:rPr>
          <w:rFonts w:ascii="Times New Roman" w:cs="Times New Roman" w:eastAsia="SimSun" w:hAnsi="Times New Roman"/>
          <w:sz w:val="24"/>
          <w:szCs w:val="24"/>
          <w:u w:val="single"/>
        </w:rPr>
        <w:tab/>
      </w:r>
      <w:r>
        <w:rPr>
          <w:rFonts w:ascii="Times New Roman" w:cs="Times New Roman" w:eastAsia="SimSun" w:hAnsi="Times New Roman"/>
          <w:sz w:val="24"/>
          <w:szCs w:val="24"/>
          <w:u w:val="single"/>
        </w:rPr>
        <w:tab/>
      </w:r>
      <w:r>
        <w:rPr>
          <w:rFonts w:ascii="Times New Roman" w:cs="Times New Roman" w:eastAsia="SimSun" w:hAnsi="Times New Roman"/>
          <w:sz w:val="24"/>
          <w:szCs w:val="24"/>
          <w:u w:val="single"/>
        </w:rPr>
        <w:tab/>
      </w:r>
      <w:r>
        <w:rPr>
          <w:rFonts w:ascii="Times New Roman" w:cs="Times New Roman" w:eastAsia="SimSun" w:hAnsi="Times New Roman"/>
          <w:sz w:val="24"/>
          <w:szCs w:val="24"/>
        </w:rPr>
        <w:tab/>
      </w:r>
      <w:r>
        <w:rPr>
          <w:rFonts w:ascii="Times New Roman" w:cs="Times New Roman" w:eastAsia="SimSun" w:hAnsi="Times New Roman"/>
          <w:sz w:val="24"/>
          <w:szCs w:val="24"/>
        </w:rPr>
        <w:tab/>
      </w:r>
      <w:r>
        <w:rPr>
          <w:rFonts w:ascii="Times New Roman" w:cs="Times New Roman" w:eastAsia="SimSun" w:hAnsi="Times New Roman"/>
          <w:sz w:val="24"/>
          <w:szCs w:val="24"/>
        </w:rPr>
        <w:t>Signature</w:t>
      </w:r>
      <w:r>
        <w:rPr>
          <w:rFonts w:ascii="Times New Roman" w:cs="Times New Roman" w:eastAsia="SimSun" w:hAnsi="Times New Roman"/>
          <w:sz w:val="24"/>
          <w:szCs w:val="24"/>
          <w:u w:val="single"/>
        </w:rPr>
        <w:tab/>
      </w:r>
      <w:r>
        <w:rPr>
          <w:rFonts w:ascii="Times New Roman" w:cs="Times New Roman" w:eastAsia="SimSun" w:hAnsi="Times New Roman"/>
          <w:sz w:val="24"/>
          <w:szCs w:val="24"/>
          <w:u w:val="single"/>
        </w:rPr>
        <w:tab/>
      </w:r>
      <w:r>
        <w:rPr>
          <w:rFonts w:ascii="Times New Roman" w:cs="Times New Roman" w:eastAsia="SimSun" w:hAnsi="Times New Roman"/>
          <w:sz w:val="24"/>
          <w:szCs w:val="24"/>
        </w:rPr>
        <w:tab/>
      </w:r>
      <w:r>
        <w:rPr>
          <w:rFonts w:ascii="Times New Roman" w:cs="Times New Roman" w:eastAsia="SimSun" w:hAnsi="Times New Roman"/>
          <w:sz w:val="24"/>
          <w:szCs w:val="24"/>
        </w:rPr>
        <w:t xml:space="preserve">     Date</w:t>
      </w:r>
      <w:r>
        <w:rPr>
          <w:rFonts w:ascii="Times New Roman" w:cs="Times New Roman" w:eastAsia="SimSun" w:hAnsi="Times New Roman"/>
          <w:sz w:val="24"/>
          <w:szCs w:val="24"/>
          <w:u w:val="single"/>
        </w:rPr>
        <w:tab/>
      </w:r>
      <w:r>
        <w:rPr>
          <w:rFonts w:ascii="Times New Roman" w:cs="Times New Roman" w:eastAsia="SimSun" w:hAnsi="Times New Roman"/>
          <w:sz w:val="24"/>
          <w:szCs w:val="24"/>
          <w:u w:val="single"/>
        </w:rPr>
        <w:tab/>
      </w:r>
    </w:p>
    <w:p>
      <w:pPr>
        <w:pStyle w:val="style0"/>
        <w:widowControl w:val="false"/>
        <w:autoSpaceDE w:val="false"/>
        <w:autoSpaceDN w:val="false"/>
        <w:spacing w:after="0" w:lineRule="auto" w:line="360"/>
        <w:ind w:right="100"/>
        <w:rPr>
          <w:rFonts w:ascii="Times New Roman" w:cs="Times New Roman" w:eastAsia="Times New Roman" w:hAnsi="Times New Roman"/>
          <w:sz w:val="24"/>
          <w:szCs w:val="24"/>
        </w:rPr>
      </w:pPr>
      <w:r>
        <w:rPr>
          <w:rFonts w:ascii="Times New Roman" w:cs="Times New Roman" w:eastAsia="SimSun" w:hAnsi="Times New Roman"/>
          <w:sz w:val="24"/>
          <w:szCs w:val="24"/>
        </w:rPr>
        <w:t xml:space="preserve">7. Holota Campus </w:t>
      </w:r>
      <w:r>
        <w:rPr>
          <w:rFonts w:ascii="Times New Roman" w:cs="Times New Roman" w:eastAsia="Times New Roman" w:hAnsi="Times New Roman"/>
          <w:sz w:val="24"/>
          <w:szCs w:val="24"/>
        </w:rPr>
        <w:t>College of Business and Economics, Ambo University, SGS coordinator</w:t>
      </w:r>
    </w:p>
    <w:p>
      <w:pPr>
        <w:pStyle w:val="style0"/>
        <w:widowControl w:val="false"/>
        <w:autoSpaceDE w:val="false"/>
        <w:autoSpaceDN w:val="false"/>
        <w:spacing w:after="0" w:lineRule="auto" w:line="360"/>
        <w:ind w:right="100"/>
        <w:rPr>
          <w:rFonts w:ascii="Times New Roman" w:cs="Times New Roman" w:eastAsia="Times New Roman" w:hAnsi="Times New Roman"/>
          <w:sz w:val="24"/>
          <w:szCs w:val="24"/>
          <w:u w:val="single"/>
        </w:rPr>
      </w:pPr>
      <w:r>
        <w:rPr>
          <w:rFonts w:ascii="Times New Roman" w:cs="Times New Roman" w:eastAsia="Times New Roman" w:hAnsi="Times New Roman"/>
          <w:sz w:val="24"/>
          <w:szCs w:val="24"/>
          <w:u w:val="single"/>
        </w:rPr>
        <w:tab/>
      </w:r>
      <w:r>
        <w:rPr>
          <w:rFonts w:ascii="Times New Roman" w:cs="Times New Roman" w:eastAsia="Times New Roman" w:hAnsi="Times New Roman"/>
          <w:sz w:val="24"/>
          <w:szCs w:val="24"/>
          <w:u w:val="single"/>
        </w:rPr>
        <w:tab/>
      </w:r>
      <w:r>
        <w:rPr>
          <w:rFonts w:ascii="Times New Roman" w:cs="Times New Roman" w:eastAsia="Times New Roman" w:hAnsi="Times New Roman"/>
          <w:sz w:val="24"/>
          <w:szCs w:val="24"/>
          <w:u w:val="single"/>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Signature</w:t>
      </w:r>
      <w:r>
        <w:rPr>
          <w:rFonts w:ascii="Times New Roman" w:cs="Times New Roman" w:eastAsia="Times New Roman" w:hAnsi="Times New Roman"/>
          <w:sz w:val="24"/>
          <w:szCs w:val="24"/>
          <w:u w:val="single"/>
        </w:rPr>
        <w:tab/>
      </w:r>
      <w:r>
        <w:rPr>
          <w:rFonts w:ascii="Times New Roman" w:cs="Times New Roman" w:eastAsia="Times New Roman" w:hAnsi="Times New Roman"/>
          <w:sz w:val="24"/>
          <w:szCs w:val="24"/>
          <w:u w:val="single"/>
        </w:rPr>
        <w:tab/>
      </w:r>
      <w:r>
        <w:rPr>
          <w:rFonts w:ascii="Times New Roman" w:cs="Times New Roman" w:eastAsia="Times New Roman" w:hAnsi="Times New Roman"/>
          <w:sz w:val="24"/>
          <w:szCs w:val="24"/>
        </w:rPr>
        <w:tab/>
      </w:r>
      <w:r>
        <w:rPr>
          <w:rFonts w:ascii="Times New Roman" w:cs="Times New Roman" w:eastAsia="Times New Roman" w:hAnsi="Times New Roman"/>
          <w:sz w:val="24"/>
          <w:szCs w:val="24"/>
        </w:rPr>
        <w:t>Date</w:t>
      </w:r>
      <w:r>
        <w:rPr>
          <w:rFonts w:ascii="Times New Roman" w:cs="Times New Roman" w:eastAsia="Times New Roman" w:hAnsi="Times New Roman"/>
          <w:sz w:val="24"/>
          <w:szCs w:val="24"/>
          <w:u w:val="single"/>
        </w:rPr>
        <w:tab/>
      </w:r>
      <w:r>
        <w:rPr>
          <w:rFonts w:ascii="Times New Roman" w:cs="Times New Roman" w:eastAsia="Times New Roman" w:hAnsi="Times New Roman"/>
          <w:sz w:val="24"/>
          <w:szCs w:val="24"/>
          <w:u w:val="single"/>
        </w:rPr>
        <w:tab/>
      </w:r>
    </w:p>
    <w:p>
      <w:pPr>
        <w:pStyle w:val="style0"/>
        <w:widowControl w:val="false"/>
        <w:autoSpaceDE w:val="false"/>
        <w:autoSpaceDN w:val="false"/>
        <w:spacing w:after="0" w:lineRule="auto" w:line="480"/>
        <w:ind w:right="100"/>
        <w:rPr>
          <w:rFonts w:ascii="Times New Roman" w:cs="Times New Roman" w:eastAsia="Times New Roman" w:hAnsi="Times New Roman"/>
          <w:sz w:val="24"/>
          <w:szCs w:val="24"/>
          <w:u w:val="single"/>
        </w:rPr>
      </w:pPr>
    </w:p>
    <w:p>
      <w:pPr>
        <w:pStyle w:val="style0"/>
        <w:widowControl w:val="false"/>
        <w:autoSpaceDE w:val="false"/>
        <w:autoSpaceDN w:val="false"/>
        <w:spacing w:after="0" w:lineRule="auto" w:line="480"/>
        <w:ind w:right="100"/>
        <w:rPr>
          <w:rFonts w:ascii="Times New Roman" w:cs="Times New Roman" w:eastAsia="SimSun" w:hAnsi="Times New Roman"/>
          <w:sz w:val="24"/>
          <w:szCs w:val="24"/>
          <w:u w:val="single"/>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p>
      <w:pPr>
        <w:pStyle w:val="style0"/>
        <w:spacing w:lineRule="auto" w:line="360"/>
        <w:jc w:val="both"/>
        <w:rPr>
          <w:rFonts w:ascii="Times New Roman" w:cs="Times New Roman" w:hAnsi="Times New Roman"/>
          <w:sz w:val="24"/>
          <w:szCs w:val="24"/>
        </w:rPr>
      </w:pPr>
    </w:p>
    <w:bookmarkStart w:id="3" w:name="_Toc204249751"/>
    <w:p>
      <w:pPr>
        <w:pStyle w:val="style3"/>
        <w:jc w:val="center"/>
        <w:rPr>
          <w:rFonts w:ascii="Times New Roman" w:cs="Times New Roman" w:hAnsi="Times New Roman"/>
          <w:color w:val="auto"/>
        </w:rPr>
      </w:pPr>
      <w:r>
        <w:rPr>
          <w:rFonts w:ascii="Times New Roman" w:cs="Times New Roman" w:hAnsi="Times New Roman"/>
          <w:color w:val="auto"/>
        </w:rPr>
        <w:t>DECLARATION</w:t>
      </w:r>
      <w:bookmarkEnd w:id="3"/>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I, the undersigned, declare that this thesis is my own work. In compliance with international accepted practice I have dually acknowledged and referred all materials used in this work. I understand that non adherence to the principle of academic honesty and integrity, miss presentation sources will constitute sufficient ground for disciplinary action by the university and can also evoke penal action from the sources which have not been property cited or acknowledge.</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Name of the student </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Zewudu Gudisa                       signature_____________          date __________</w:t>
      </w: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bookmarkStart w:id="4" w:name="_Toc203285054"/>
    <w:bookmarkStart w:id="5" w:name="_Toc204249752"/>
    <w:p>
      <w:pPr>
        <w:pStyle w:val="style3"/>
        <w:spacing w:lineRule="auto" w:line="360"/>
        <w:jc w:val="center"/>
        <w:rPr>
          <w:rFonts w:ascii="Times New Roman" w:cs="Times New Roman" w:hAnsi="Times New Roman"/>
          <w:color w:val="auto"/>
        </w:rPr>
      </w:pPr>
      <w:r>
        <w:rPr>
          <w:rFonts w:ascii="Times New Roman" w:cs="Times New Roman" w:hAnsi="Times New Roman"/>
          <w:color w:val="auto"/>
        </w:rPr>
        <w:t>ACKNOWLEDGEMENT</w:t>
      </w:r>
      <w:bookmarkEnd w:id="4"/>
      <w:bookmarkEnd w:id="5"/>
    </w:p>
    <w:p>
      <w:pPr>
        <w:pStyle w:val="style0"/>
        <w:spacing w:lineRule="auto" w:line="360"/>
        <w:jc w:val="both"/>
        <w:rPr>
          <w:rFonts w:ascii="Times New Roman" w:cs="Times New Roman" w:hAnsi="Times New Roman"/>
        </w:rPr>
      </w:pPr>
      <w:r>
        <w:rPr>
          <w:rFonts w:ascii="Times New Roman" w:cs="Times New Roman" w:eastAsia="SimSun" w:hAnsi="Times New Roman"/>
          <w:lang w:eastAsia="ja-JP"/>
        </w:rPr>
        <w:t>Foremost, I extend my deepest gratitude to Almighty God for His endless grace, strength, and guidance in completing this research work and throughout my life’s journey. I am profoundly grateful to my supervisor, Olani Bekele, for his unwavering encouragement, insightful guidance, and steadfast support from the initial stages to the completion of this research. His expertise and mentorship were instrumental in shaping my understanding of the subject. Finally, yet just as importantly, I owe an immeasurable debt to my family for their unconditional love and support, without which this accomplishment would not have been possible. I am especially thankful to my father, Gudisa Megersa; my mother, W/ro Dibabe Milkesa; and my beloved sisters, Elsa Gudisa and Kenani Gudisa, for their constant motivation, prayers, and belief in me.</w:t>
      </w:r>
    </w:p>
    <w:p>
      <w:pPr>
        <w:pStyle w:val="style0"/>
        <w:spacing w:lineRule="auto" w:line="360"/>
        <w:jc w:val="both"/>
        <w:rPr>
          <w:rFonts w:ascii="Times New Roman" w:cs="Times New Roman" w:hAnsi="Times New Roman"/>
        </w:rPr>
      </w:pPr>
    </w:p>
    <w:p>
      <w:pPr>
        <w:pStyle w:val="style0"/>
        <w:spacing w:lineRule="auto" w:line="360"/>
        <w:jc w:val="both"/>
        <w:rPr>
          <w:rFonts w:ascii="Times New Roman" w:cs="Times New Roman" w:hAnsi="Times New Roman"/>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sz w:val="24"/>
          <w:szCs w:val="24"/>
        </w:rPr>
      </w:pPr>
    </w:p>
    <w:p>
      <w:pPr>
        <w:pStyle w:val="style0"/>
        <w:spacing w:lineRule="auto" w:line="360"/>
        <w:rPr>
          <w:rFonts w:ascii="Times New Roman" w:cs="Times New Roman" w:hAnsi="Times New Roman"/>
          <w:b/>
          <w:sz w:val="24"/>
          <w:szCs w:val="24"/>
        </w:rPr>
      </w:pPr>
    </w:p>
    <w:bookmarkStart w:id="6" w:name="_Toc167342513"/>
    <w:bookmarkStart w:id="7" w:name="_Toc204249753"/>
    <w:p>
      <w:pPr>
        <w:pStyle w:val="style3"/>
        <w:rPr>
          <w:rFonts w:ascii="Times New Roman" w:cs="Times New Roman" w:hAnsi="Times New Roman"/>
          <w:color w:val="auto"/>
          <w:sz w:val="24"/>
        </w:rPr>
      </w:pPr>
      <w:r>
        <w:rPr>
          <w:rFonts w:ascii="Times New Roman" w:cs="Times New Roman" w:hAnsi="Times New Roman"/>
          <w:color w:val="auto"/>
          <w:sz w:val="24"/>
        </w:rPr>
        <w:t>ACRONYMS AND AN ABBREVIATION</w:t>
      </w:r>
      <w:bookmarkEnd w:id="6"/>
      <w:bookmarkEnd w:id="7"/>
    </w:p>
    <w:p>
      <w:pPr>
        <w:pStyle w:val="style0"/>
        <w:rPr>
          <w:rFonts w:ascii="Times New Roman" w:cs="Times New Roman" w:hAnsi="Times New Roman"/>
          <w:sz w:val="24"/>
        </w:rPr>
      </w:pPr>
      <w:r>
        <w:rPr>
          <w:rFonts w:ascii="Times New Roman" w:cs="Times New Roman" w:hAnsi="Times New Roman"/>
          <w:sz w:val="24"/>
        </w:rPr>
        <w:t>AA: - Audit Amount</w:t>
      </w:r>
    </w:p>
    <w:p>
      <w:pPr>
        <w:pStyle w:val="style0"/>
        <w:rPr>
          <w:rFonts w:ascii="Times New Roman" w:cs="Times New Roman" w:hAnsi="Times New Roman"/>
          <w:sz w:val="24"/>
        </w:rPr>
      </w:pPr>
      <w:r>
        <w:rPr>
          <w:rFonts w:ascii="Times New Roman" w:cs="Times New Roman" w:hAnsi="Times New Roman"/>
          <w:sz w:val="24"/>
        </w:rPr>
        <w:t>AAT: - Amount After Audit</w:t>
      </w:r>
    </w:p>
    <w:p>
      <w:pPr>
        <w:pStyle w:val="style0"/>
        <w:rPr>
          <w:rFonts w:ascii="Times New Roman" w:cs="Times New Roman" w:hAnsi="Times New Roman"/>
          <w:sz w:val="24"/>
        </w:rPr>
      </w:pPr>
      <w:r>
        <w:rPr>
          <w:rFonts w:ascii="Times New Roman" w:cs="Times New Roman" w:hAnsi="Times New Roman"/>
          <w:sz w:val="24"/>
        </w:rPr>
        <w:t>EBDSN: - Ethiopian Business Development Services Network.</w:t>
      </w:r>
    </w:p>
    <w:p>
      <w:pPr>
        <w:pStyle w:val="style0"/>
        <w:rPr>
          <w:rFonts w:ascii="Times New Roman" w:cs="Times New Roman" w:hAnsi="Times New Roman"/>
          <w:sz w:val="24"/>
        </w:rPr>
      </w:pPr>
      <w:r>
        <w:rPr>
          <w:rFonts w:ascii="Times New Roman" w:cs="Times New Roman" w:hAnsi="Times New Roman"/>
          <w:sz w:val="24"/>
        </w:rPr>
        <w:t>BCARA: - Burayu City Administration Revenue Authority</w:t>
      </w:r>
    </w:p>
    <w:p>
      <w:pPr>
        <w:pStyle w:val="style0"/>
        <w:rPr>
          <w:rFonts w:ascii="Times New Roman" w:cs="Times New Roman" w:hAnsi="Times New Roman"/>
          <w:sz w:val="24"/>
        </w:rPr>
      </w:pPr>
      <w:r>
        <w:rPr>
          <w:rFonts w:ascii="Times New Roman" w:cs="Times New Roman" w:hAnsi="Times New Roman"/>
          <w:sz w:val="24"/>
        </w:rPr>
        <w:t>RA:  -Revenue Authority</w:t>
      </w:r>
    </w:p>
    <w:p>
      <w:pPr>
        <w:pStyle w:val="style0"/>
        <w:rPr>
          <w:rFonts w:ascii="Times New Roman" w:cs="Times New Roman" w:hAnsi="Times New Roman"/>
          <w:sz w:val="24"/>
        </w:rPr>
      </w:pPr>
      <w:r>
        <w:rPr>
          <w:rFonts w:ascii="Times New Roman" w:cs="Times New Roman" w:hAnsi="Times New Roman"/>
          <w:sz w:val="24"/>
        </w:rPr>
        <w:t>ABT: - Amount before Audit</w:t>
      </w:r>
    </w:p>
    <w:p>
      <w:pPr>
        <w:pStyle w:val="style0"/>
        <w:rPr>
          <w:rFonts w:ascii="Times New Roman" w:cs="Times New Roman" w:hAnsi="Times New Roman"/>
          <w:sz w:val="24"/>
        </w:rPr>
      </w:pPr>
      <w:r>
        <w:rPr>
          <w:rFonts w:ascii="Times New Roman" w:cs="Times New Roman" w:hAnsi="Times New Roman"/>
          <w:sz w:val="24"/>
        </w:rPr>
        <w:t>EC:-Ethiopian calendar</w:t>
      </w:r>
    </w:p>
    <w:p>
      <w:pPr>
        <w:pStyle w:val="style0"/>
        <w:rPr>
          <w:rFonts w:ascii="Times New Roman" w:cs="Times New Roman" w:hAnsi="Times New Roman"/>
          <w:sz w:val="24"/>
        </w:rPr>
      </w:pPr>
      <w:r>
        <w:rPr>
          <w:rFonts w:ascii="Times New Roman" w:cs="Times New Roman" w:hAnsi="Times New Roman"/>
          <w:sz w:val="24"/>
        </w:rPr>
        <w:t>ECC: - Ethiopian Chamber of Commerce</w:t>
      </w:r>
    </w:p>
    <w:p>
      <w:pPr>
        <w:pStyle w:val="style0"/>
        <w:rPr>
          <w:rFonts w:ascii="Times New Roman" w:cs="Times New Roman" w:hAnsi="Times New Roman"/>
          <w:sz w:val="24"/>
        </w:rPr>
      </w:pPr>
      <w:r>
        <w:rPr>
          <w:rFonts w:ascii="Times New Roman" w:cs="Times New Roman" w:hAnsi="Times New Roman"/>
          <w:sz w:val="24"/>
        </w:rPr>
        <w:t>ERCA: -</w:t>
      </w:r>
      <w:r>
        <w:rPr>
          <w:rFonts w:ascii="Times New Roman" w:cs="Times New Roman" w:hAnsi="Times New Roman"/>
          <w:sz w:val="24"/>
        </w:rPr>
        <w:t xml:space="preserve"> Ethiopian Revenue &amp; Customs Authority</w:t>
      </w:r>
    </w:p>
    <w:p>
      <w:pPr>
        <w:pStyle w:val="style0"/>
        <w:rPr>
          <w:rFonts w:ascii="Times New Roman" w:cs="Times New Roman" w:hAnsi="Times New Roman"/>
          <w:sz w:val="24"/>
        </w:rPr>
      </w:pPr>
      <w:r>
        <w:rPr>
          <w:rFonts w:ascii="Times New Roman" w:cs="Times New Roman" w:hAnsi="Times New Roman"/>
          <w:sz w:val="24"/>
        </w:rPr>
        <w:t>SPSS: -</w:t>
      </w:r>
      <w:r>
        <w:rPr>
          <w:rFonts w:ascii="Times New Roman" w:cs="Times New Roman" w:hAnsi="Times New Roman"/>
          <w:sz w:val="24"/>
        </w:rPr>
        <w:t xml:space="preserve"> Statistical package for social science</w:t>
      </w:r>
    </w:p>
    <w:p>
      <w:pPr>
        <w:pStyle w:val="style0"/>
        <w:rPr>
          <w:rFonts w:ascii="Times New Roman" w:cs="Times New Roman" w:hAnsi="Times New Roman"/>
          <w:sz w:val="24"/>
        </w:rPr>
      </w:pPr>
      <w:r>
        <w:rPr>
          <w:rFonts w:ascii="Times New Roman" w:cs="Times New Roman" w:hAnsi="Times New Roman"/>
          <w:sz w:val="24"/>
        </w:rPr>
        <w:t xml:space="preserve">OECD: - </w:t>
      </w:r>
      <w:r>
        <w:rPr>
          <w:rFonts w:ascii="Times New Roman" w:cs="Times New Roman" w:hAnsi="Times New Roman"/>
          <w:sz w:val="24"/>
        </w:rPr>
        <w:t>Office of Economic Cooperation and Development</w:t>
      </w:r>
    </w:p>
    <w:p>
      <w:pPr>
        <w:pStyle w:val="style0"/>
        <w:rPr>
          <w:rFonts w:ascii="Times New Roman" w:cs="Times New Roman" w:hAnsi="Times New Roman"/>
          <w:sz w:val="24"/>
        </w:rPr>
      </w:pPr>
      <w:r>
        <w:rPr>
          <w:rFonts w:ascii="Times New Roman" w:cs="Times New Roman" w:hAnsi="Times New Roman"/>
          <w:sz w:val="24"/>
        </w:rPr>
        <w:t xml:space="preserve">RTA: - </w:t>
      </w:r>
      <w:r>
        <w:rPr>
          <w:rFonts w:ascii="Times New Roman" w:cs="Times New Roman" w:hAnsi="Times New Roman"/>
          <w:sz w:val="24"/>
        </w:rPr>
        <w:t>Relevant Tax Authority</w:t>
      </w:r>
    </w:p>
    <w:p>
      <w:pPr>
        <w:pStyle w:val="style0"/>
        <w:spacing w:lineRule="auto" w:line="360"/>
        <w:rPr>
          <w:rFonts w:ascii="Times New Roman" w:cs="Times New Roman" w:hAnsi="Times New Roman"/>
          <w:b/>
          <w:sz w:val="24"/>
          <w:szCs w:val="24"/>
        </w:rPr>
      </w:pPr>
    </w:p>
    <w:p>
      <w:pPr>
        <w:pStyle w:val="style0"/>
        <w:spacing w:lineRule="auto" w:line="360"/>
        <w:rPr>
          <w:rFonts w:ascii="Times New Roman" w:cs="Times New Roman" w:hAnsi="Times New Roman"/>
          <w:b/>
          <w:sz w:val="24"/>
          <w:szCs w:val="24"/>
        </w:rPr>
      </w:pPr>
    </w:p>
    <w:p>
      <w:pPr>
        <w:pStyle w:val="style0"/>
        <w:spacing w:lineRule="auto" w:line="360"/>
        <w:rPr>
          <w:rFonts w:ascii="Times New Roman" w:cs="Times New Roman" w:hAnsi="Times New Roman"/>
          <w:b/>
          <w:sz w:val="24"/>
          <w:szCs w:val="24"/>
        </w:rPr>
      </w:pPr>
    </w:p>
    <w:p>
      <w:pPr>
        <w:pStyle w:val="style0"/>
        <w:spacing w:lineRule="auto" w:line="360"/>
        <w:rPr>
          <w:rFonts w:ascii="Times New Roman" w:cs="Times New Roman" w:hAnsi="Times New Roman"/>
          <w:b/>
          <w:sz w:val="24"/>
          <w:szCs w:val="24"/>
        </w:rPr>
      </w:pPr>
    </w:p>
    <w:p>
      <w:pPr>
        <w:pStyle w:val="style0"/>
        <w:spacing w:lineRule="auto" w:line="360"/>
        <w:rPr>
          <w:rFonts w:ascii="Times New Roman" w:cs="Times New Roman" w:hAnsi="Times New Roman"/>
          <w:b/>
          <w:sz w:val="24"/>
          <w:szCs w:val="24"/>
        </w:rPr>
      </w:pPr>
    </w:p>
    <w:p>
      <w:pPr>
        <w:pStyle w:val="style0"/>
        <w:spacing w:lineRule="auto" w:line="360"/>
        <w:rPr>
          <w:rFonts w:ascii="Times New Roman" w:cs="Times New Roman" w:hAnsi="Times New Roman"/>
          <w:b/>
          <w:sz w:val="24"/>
          <w:szCs w:val="24"/>
        </w:rPr>
      </w:pPr>
    </w:p>
    <w:p>
      <w:pPr>
        <w:pStyle w:val="style0"/>
        <w:spacing w:lineRule="auto" w:line="360"/>
        <w:rPr>
          <w:rFonts w:ascii="Times New Roman" w:cs="Times New Roman" w:hAnsi="Times New Roman"/>
          <w:b/>
          <w:sz w:val="24"/>
          <w:szCs w:val="24"/>
        </w:rPr>
      </w:pPr>
    </w:p>
    <w:p>
      <w:pPr>
        <w:pStyle w:val="style0"/>
        <w:spacing w:lineRule="auto" w:line="360"/>
        <w:rPr>
          <w:rFonts w:ascii="Times New Roman" w:cs="Times New Roman" w:hAnsi="Times New Roman"/>
          <w:b/>
          <w:sz w:val="24"/>
          <w:szCs w:val="24"/>
        </w:rPr>
      </w:pPr>
    </w:p>
    <w:p>
      <w:pPr>
        <w:pStyle w:val="style0"/>
        <w:spacing w:lineRule="auto" w:line="360"/>
        <w:rPr>
          <w:rFonts w:ascii="Times New Roman" w:cs="Times New Roman" w:hAnsi="Times New Roman"/>
          <w:b/>
          <w:sz w:val="24"/>
          <w:szCs w:val="24"/>
        </w:rPr>
      </w:pPr>
    </w:p>
    <w:p>
      <w:pPr>
        <w:pStyle w:val="style0"/>
        <w:spacing w:lineRule="auto" w:line="360"/>
        <w:rPr>
          <w:rFonts w:ascii="Times New Roman" w:cs="Times New Roman" w:hAnsi="Times New Roman"/>
          <w:b/>
          <w:sz w:val="24"/>
          <w:szCs w:val="24"/>
        </w:rPr>
      </w:pPr>
    </w:p>
    <w:p>
      <w:pPr>
        <w:pStyle w:val="style0"/>
        <w:spacing w:lineRule="auto" w:line="360"/>
        <w:rPr>
          <w:rFonts w:ascii="Times New Roman" w:cs="Times New Roman" w:hAnsi="Times New Roman"/>
          <w:b/>
          <w:sz w:val="24"/>
          <w:szCs w:val="24"/>
        </w:rPr>
      </w:pPr>
    </w:p>
    <w:p>
      <w:pPr>
        <w:pStyle w:val="style4112"/>
        <w:rPr>
          <w:rFonts w:ascii="Times New Roman" w:cs="Times New Roman" w:hAnsi="Times New Roman"/>
          <w:color w:val="auto"/>
        </w:rPr>
      </w:pPr>
      <w:r>
        <w:rPr>
          <w:rFonts w:ascii="Times New Roman" w:cs="Times New Roman" w:eastAsia="Calibri" w:hAnsi="Times New Roman"/>
          <w:bCs w:val="false"/>
          <w:color w:val="auto"/>
          <w:lang w:eastAsia="en-US"/>
        </w:rPr>
        <w:t xml:space="preserve">TABLE OF </w:t>
      </w:r>
      <w:r>
        <w:rPr>
          <w:rFonts w:ascii="Times New Roman" w:cs="Times New Roman" w:hAnsi="Times New Roman"/>
          <w:color w:val="auto"/>
        </w:rPr>
        <w:t>CONTENTS</w:t>
      </w:r>
    </w:p>
    <w:p>
      <w:pPr>
        <w:pStyle w:val="style21"/>
        <w:tabs>
          <w:tab w:val="right" w:leader="dot" w:pos="9350"/>
        </w:tabs>
        <w:rPr>
          <w:rFonts w:ascii="Times New Roman" w:cs="Times New Roman" w:eastAsia="宋体" w:hAnsi="Times New Roman"/>
          <w:noProof/>
        </w:rPr>
      </w:pPr>
      <w:r>
        <w:rPr>
          <w:rFonts w:ascii="Times New Roman" w:cs="Times New Roman" w:hAnsi="Times New Roman"/>
        </w:rPr>
        <w:fldChar w:fldCharType="begin"/>
      </w:r>
      <w:r>
        <w:rPr>
          <w:rFonts w:ascii="Times New Roman" w:cs="Times New Roman" w:hAnsi="Times New Roman"/>
        </w:rPr>
        <w:instrText xml:space="preserve"> TOC \o "1-3" \h \z \u </w:instrText>
      </w:r>
      <w:r>
        <w:rPr>
          <w:rFonts w:ascii="Times New Roman" w:cs="Times New Roman" w:hAnsi="Times New Roman"/>
        </w:rPr>
        <w:fldChar w:fldCharType="separate"/>
      </w:r>
      <w:r>
        <w:rPr/>
        <w:fldChar w:fldCharType="begin"/>
      </w:r>
      <w:r>
        <w:instrText xml:space="preserve"> HYPERLINK \l "_Toc204249749" </w:instrText>
      </w:r>
      <w:r>
        <w:rPr/>
        <w:fldChar w:fldCharType="separate"/>
      </w:r>
      <w:r>
        <w:rPr>
          <w:rStyle w:val="style85"/>
          <w:rFonts w:ascii="Times New Roman" w:cs="Times New Roman" w:hAnsi="Times New Roman"/>
          <w:noProof/>
          <w:color w:val="auto"/>
        </w:rPr>
        <w:t>CERTIFICATION SHEET</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_Toc204249749 \h </w:instrText>
      </w:r>
      <w:r>
        <w:rPr>
          <w:rFonts w:ascii="Times New Roman" w:cs="Times New Roman" w:hAnsi="Times New Roman"/>
          <w:noProof/>
          <w:webHidden/>
        </w:rPr>
        <w:fldChar w:fldCharType="separate"/>
      </w:r>
      <w:r>
        <w:rPr>
          <w:rFonts w:ascii="Times New Roman" w:cs="Times New Roman" w:hAnsi="Times New Roman"/>
          <w:noProof/>
          <w:webHidden/>
        </w:rPr>
        <w:t>i</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"_Toc204249750" </w:instrText>
      </w:r>
      <w:r>
        <w:rPr/>
        <w:fldChar w:fldCharType="separate"/>
      </w:r>
      <w:r>
        <w:rPr>
          <w:rStyle w:val="style85"/>
          <w:rFonts w:ascii="Times New Roman" w:cs="Times New Roman" w:hAnsi="Times New Roman"/>
          <w:noProof/>
          <w:color w:val="auto"/>
        </w:rPr>
        <w:t>APPROVAL SHEET</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_Toc204249750 \h </w:instrText>
      </w:r>
      <w:r>
        <w:rPr>
          <w:rFonts w:ascii="Times New Roman" w:cs="Times New Roman" w:hAnsi="Times New Roman"/>
          <w:noProof/>
          <w:webHidden/>
        </w:rPr>
        <w:fldChar w:fldCharType="separate"/>
      </w:r>
      <w:r>
        <w:rPr>
          <w:rFonts w:ascii="Times New Roman" w:cs="Times New Roman" w:hAnsi="Times New Roman"/>
          <w:noProof/>
          <w:webHidden/>
        </w:rPr>
        <w:t>ii</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"_Toc204249751" </w:instrText>
      </w:r>
      <w:r>
        <w:rPr/>
        <w:fldChar w:fldCharType="separate"/>
      </w:r>
      <w:r>
        <w:rPr>
          <w:rStyle w:val="style85"/>
          <w:rFonts w:ascii="Times New Roman" w:cs="Times New Roman" w:hAnsi="Times New Roman"/>
          <w:noProof/>
          <w:color w:val="auto"/>
        </w:rPr>
        <w:t>DECLARATION</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_Toc204249751 \h </w:instrText>
      </w:r>
      <w:r>
        <w:rPr>
          <w:rFonts w:ascii="Times New Roman" w:cs="Times New Roman" w:hAnsi="Times New Roman"/>
          <w:noProof/>
          <w:webHidden/>
        </w:rPr>
        <w:fldChar w:fldCharType="separate"/>
      </w:r>
      <w:r>
        <w:rPr>
          <w:rFonts w:ascii="Times New Roman" w:cs="Times New Roman" w:hAnsi="Times New Roman"/>
          <w:noProof/>
          <w:webHidden/>
        </w:rPr>
        <w:t>iii</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"_Toc204249752" </w:instrText>
      </w:r>
      <w:r>
        <w:rPr/>
        <w:fldChar w:fldCharType="separate"/>
      </w:r>
      <w:r>
        <w:rPr>
          <w:rStyle w:val="style85"/>
          <w:rFonts w:ascii="Times New Roman" w:cs="Times New Roman" w:hAnsi="Times New Roman"/>
          <w:noProof/>
          <w:color w:val="auto"/>
        </w:rPr>
        <w:t>ACKNOWLEDGEMENT</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_Toc204249752 \h </w:instrText>
      </w:r>
      <w:r>
        <w:rPr>
          <w:rFonts w:ascii="Times New Roman" w:cs="Times New Roman" w:hAnsi="Times New Roman"/>
          <w:noProof/>
          <w:webHidden/>
        </w:rPr>
        <w:fldChar w:fldCharType="separate"/>
      </w:r>
      <w:r>
        <w:rPr>
          <w:rFonts w:ascii="Times New Roman" w:cs="Times New Roman" w:hAnsi="Times New Roman"/>
          <w:noProof/>
          <w:webHidden/>
        </w:rPr>
        <w:t>iv</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"_Toc204249753" </w:instrText>
      </w:r>
      <w:r>
        <w:rPr/>
        <w:fldChar w:fldCharType="separate"/>
      </w:r>
      <w:r>
        <w:rPr>
          <w:rStyle w:val="style85"/>
          <w:rFonts w:ascii="Times New Roman" w:cs="Times New Roman" w:hAnsi="Times New Roman"/>
          <w:noProof/>
          <w:color w:val="auto"/>
        </w:rPr>
        <w:t>ACRONYMS AND AN ABBREVIATION</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_Toc204249753 \h </w:instrText>
      </w:r>
      <w:r>
        <w:rPr>
          <w:rFonts w:ascii="Times New Roman" w:cs="Times New Roman" w:hAnsi="Times New Roman"/>
          <w:noProof/>
          <w:webHidden/>
        </w:rPr>
        <w:fldChar w:fldCharType="separate"/>
      </w:r>
      <w:r>
        <w:rPr>
          <w:rFonts w:ascii="Times New Roman" w:cs="Times New Roman" w:hAnsi="Times New Roman"/>
          <w:noProof/>
          <w:webHidden/>
        </w:rPr>
        <w:t>v</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"_Toc204249754" </w:instrText>
      </w:r>
      <w:r>
        <w:rPr/>
        <w:fldChar w:fldCharType="separate"/>
      </w:r>
      <w:r>
        <w:rPr>
          <w:rStyle w:val="style85"/>
          <w:rFonts w:ascii="Times New Roman" w:cs="Times New Roman" w:hAnsi="Times New Roman"/>
          <w:noProof/>
          <w:color w:val="auto"/>
        </w:rPr>
        <w:t>List Table</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_Toc204249754 \h </w:instrText>
      </w:r>
      <w:r>
        <w:rPr>
          <w:rFonts w:ascii="Times New Roman" w:cs="Times New Roman" w:hAnsi="Times New Roman"/>
          <w:noProof/>
          <w:webHidden/>
        </w:rPr>
        <w:fldChar w:fldCharType="separate"/>
      </w:r>
      <w:r>
        <w:rPr>
          <w:rFonts w:ascii="Times New Roman" w:cs="Times New Roman" w:hAnsi="Times New Roman"/>
          <w:noProof/>
          <w:webHidden/>
        </w:rPr>
        <w:t>vii</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"_Toc204249755" </w:instrText>
      </w:r>
      <w:r>
        <w:rPr/>
        <w:fldChar w:fldCharType="separate"/>
      </w:r>
      <w:r>
        <w:rPr>
          <w:rStyle w:val="style85"/>
          <w:rFonts w:ascii="Times New Roman" w:cs="Times New Roman" w:hAnsi="Times New Roman"/>
          <w:noProof/>
          <w:color w:val="auto"/>
        </w:rPr>
        <w:t>List Figure</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_Toc204249755 \h </w:instrText>
      </w:r>
      <w:r>
        <w:rPr>
          <w:rFonts w:ascii="Times New Roman" w:cs="Times New Roman" w:hAnsi="Times New Roman"/>
          <w:noProof/>
          <w:webHidden/>
        </w:rPr>
        <w:fldChar w:fldCharType="separate"/>
      </w:r>
      <w:r>
        <w:rPr>
          <w:rFonts w:ascii="Times New Roman" w:cs="Times New Roman" w:hAnsi="Times New Roman"/>
          <w:noProof/>
          <w:webHidden/>
        </w:rPr>
        <w:t>viii</w:t>
      </w:r>
      <w:r>
        <w:rPr>
          <w:rFonts w:ascii="Times New Roman" w:cs="Times New Roman" w:hAnsi="Times New Roman"/>
          <w:noProof/>
          <w:webHidden/>
        </w:rPr>
        <w:fldChar w:fldCharType="end"/>
      </w:r>
      <w:r>
        <w:rPr/>
        <w:fldChar w:fldCharType="end"/>
      </w:r>
    </w:p>
    <w:p>
      <w:pPr>
        <w:pStyle w:val="style19"/>
        <w:tabs>
          <w:tab w:val="right" w:leader="dot" w:pos="9350"/>
        </w:tabs>
        <w:rPr>
          <w:rFonts w:ascii="Times New Roman" w:cs="Times New Roman" w:eastAsia="宋体" w:hAnsi="Times New Roman"/>
          <w:noProof/>
        </w:rPr>
      </w:pPr>
      <w:r>
        <w:rPr/>
        <w:fldChar w:fldCharType="begin"/>
      </w:r>
      <w:r>
        <w:instrText xml:space="preserve"> HYPERLINK \l "_Toc204249756" </w:instrText>
      </w:r>
      <w:r>
        <w:rPr/>
        <w:fldChar w:fldCharType="separate"/>
      </w:r>
      <w:r>
        <w:rPr>
          <w:rStyle w:val="style85"/>
          <w:rFonts w:ascii="Times New Roman" w:cs="Times New Roman" w:hAnsi="Times New Roman"/>
          <w:noProof/>
          <w:color w:val="auto"/>
        </w:rPr>
        <w:t>Abstract</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_Toc204249756 \h </w:instrText>
      </w:r>
      <w:r>
        <w:rPr>
          <w:rFonts w:ascii="Times New Roman" w:cs="Times New Roman" w:hAnsi="Times New Roman"/>
          <w:noProof/>
          <w:webHidden/>
        </w:rPr>
        <w:fldChar w:fldCharType="separate"/>
      </w:r>
      <w:r>
        <w:rPr>
          <w:rFonts w:ascii="Times New Roman" w:cs="Times New Roman" w:hAnsi="Times New Roman"/>
          <w:noProof/>
          <w:webHidden/>
        </w:rPr>
        <w:t>x</w:t>
      </w:r>
      <w:r>
        <w:rPr>
          <w:rFonts w:ascii="Times New Roman" w:cs="Times New Roman" w:hAnsi="Times New Roman"/>
          <w:noProof/>
          <w:webHidden/>
        </w:rPr>
        <w:fldChar w:fldCharType="end"/>
      </w:r>
      <w:r>
        <w:rPr/>
        <w:fldChar w:fldCharType="end"/>
      </w:r>
    </w:p>
    <w:p>
      <w:pPr>
        <w:pStyle w:val="style19"/>
        <w:tabs>
          <w:tab w:val="right" w:leader="dot" w:pos="9350"/>
        </w:tabs>
        <w:rPr>
          <w:rFonts w:ascii="Times New Roman" w:cs="Times New Roman" w:eastAsia="宋体" w:hAnsi="Times New Roman"/>
          <w:noProof/>
        </w:rPr>
      </w:pPr>
      <w:r>
        <w:rPr/>
        <w:fldChar w:fldCharType="begin"/>
      </w:r>
      <w:r>
        <w:instrText xml:space="preserve"> HYPERLINK \l "_Toc204249757" </w:instrText>
      </w:r>
      <w:r>
        <w:rPr/>
        <w:fldChar w:fldCharType="separate"/>
      </w:r>
      <w:r>
        <w:rPr>
          <w:rStyle w:val="style85"/>
          <w:rFonts w:ascii="Times New Roman" w:cs="Times New Roman" w:hAnsi="Times New Roman"/>
          <w:noProof/>
          <w:color w:val="auto"/>
        </w:rPr>
        <w:t>CHAPTER ONE</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_Toc204249757 \h </w:instrText>
      </w:r>
      <w:r>
        <w:rPr>
          <w:rFonts w:ascii="Times New Roman" w:cs="Times New Roman" w:hAnsi="Times New Roman"/>
          <w:noProof/>
          <w:webHidden/>
        </w:rPr>
        <w:fldChar w:fldCharType="separate"/>
      </w:r>
      <w:r>
        <w:rPr>
          <w:rFonts w:ascii="Times New Roman" w:cs="Times New Roman" w:hAnsi="Times New Roman"/>
          <w:noProof/>
          <w:webHidden/>
        </w:rPr>
        <w:t>1</w:t>
      </w:r>
      <w:r>
        <w:rPr>
          <w:rFonts w:ascii="Times New Roman" w:cs="Times New Roman" w:hAnsi="Times New Roman"/>
          <w:noProof/>
          <w:webHidden/>
        </w:rPr>
        <w:fldChar w:fldCharType="end"/>
      </w:r>
      <w:r>
        <w:rPr/>
        <w:fldChar w:fldCharType="end"/>
      </w:r>
    </w:p>
    <w:p>
      <w:pPr>
        <w:pStyle w:val="style20"/>
        <w:tabs>
          <w:tab w:val="right" w:leader="dot" w:pos="9350"/>
        </w:tabs>
        <w:rPr>
          <w:rFonts w:ascii="Times New Roman" w:cs="Times New Roman" w:eastAsia="宋体" w:hAnsi="Times New Roman"/>
          <w:noProof/>
        </w:rPr>
      </w:pPr>
      <w:r>
        <w:rPr/>
        <w:fldChar w:fldCharType="begin"/>
      </w:r>
      <w:r>
        <w:instrText xml:space="preserve"> HYPERLINK \l "_Toc204249758" </w:instrText>
      </w:r>
      <w:r>
        <w:rPr/>
        <w:fldChar w:fldCharType="separate"/>
      </w:r>
      <w:r>
        <w:rPr>
          <w:rStyle w:val="style85"/>
          <w:rFonts w:ascii="Times New Roman" w:cs="Times New Roman" w:hAnsi="Times New Roman"/>
          <w:noProof/>
          <w:color w:val="auto"/>
        </w:rPr>
        <w:t>1. INTRODUCTION</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_Toc204249758 \h </w:instrText>
      </w:r>
      <w:r>
        <w:rPr>
          <w:rFonts w:ascii="Times New Roman" w:cs="Times New Roman" w:hAnsi="Times New Roman"/>
          <w:noProof/>
          <w:webHidden/>
        </w:rPr>
        <w:fldChar w:fldCharType="separate"/>
      </w:r>
      <w:r>
        <w:rPr>
          <w:rFonts w:ascii="Times New Roman" w:cs="Times New Roman" w:hAnsi="Times New Roman"/>
          <w:noProof/>
          <w:webHidden/>
        </w:rPr>
        <w:t>1</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"_Toc204249759" </w:instrText>
      </w:r>
      <w:r>
        <w:rPr/>
        <w:fldChar w:fldCharType="separate"/>
      </w:r>
      <w:r>
        <w:rPr>
          <w:rStyle w:val="style85"/>
          <w:rFonts w:ascii="Times New Roman" w:cs="Times New Roman" w:hAnsi="Times New Roman"/>
          <w:noProof/>
          <w:color w:val="auto"/>
        </w:rPr>
        <w:t>1.1. Background of the Study</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_Toc204249759 \h </w:instrText>
      </w:r>
      <w:r>
        <w:rPr>
          <w:rFonts w:ascii="Times New Roman" w:cs="Times New Roman" w:hAnsi="Times New Roman"/>
          <w:noProof/>
          <w:webHidden/>
        </w:rPr>
        <w:fldChar w:fldCharType="separate"/>
      </w:r>
      <w:r>
        <w:rPr>
          <w:rFonts w:ascii="Times New Roman" w:cs="Times New Roman" w:hAnsi="Times New Roman"/>
          <w:noProof/>
          <w:webHidden/>
        </w:rPr>
        <w:t>1</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"_Toc204249760" </w:instrText>
      </w:r>
      <w:r>
        <w:rPr/>
        <w:fldChar w:fldCharType="separate"/>
      </w:r>
      <w:r>
        <w:rPr>
          <w:rStyle w:val="style85"/>
          <w:rFonts w:ascii="Times New Roman" w:cs="Times New Roman" w:hAnsi="Times New Roman"/>
          <w:noProof/>
          <w:color w:val="auto"/>
        </w:rPr>
        <w:t>1.2. Statement of the Problem</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_Toc204249760 \h </w:instrText>
      </w:r>
      <w:r>
        <w:rPr>
          <w:rFonts w:ascii="Times New Roman" w:cs="Times New Roman" w:hAnsi="Times New Roman"/>
          <w:noProof/>
          <w:webHidden/>
        </w:rPr>
        <w:fldChar w:fldCharType="separate"/>
      </w:r>
      <w:r>
        <w:rPr>
          <w:rFonts w:ascii="Times New Roman" w:cs="Times New Roman" w:hAnsi="Times New Roman"/>
          <w:noProof/>
          <w:webHidden/>
        </w:rPr>
        <w:t>4</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"_Toc204249761" </w:instrText>
      </w:r>
      <w:r>
        <w:rPr/>
        <w:fldChar w:fldCharType="separate"/>
      </w:r>
      <w:r>
        <w:rPr>
          <w:rStyle w:val="style85"/>
          <w:rFonts w:ascii="Times New Roman" w:cs="Times New Roman" w:hAnsi="Times New Roman"/>
          <w:noProof/>
          <w:color w:val="auto"/>
        </w:rPr>
        <w:t>1.3. Objectives of the study</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_Toc204249761 \h </w:instrText>
      </w:r>
      <w:r>
        <w:rPr>
          <w:rFonts w:ascii="Times New Roman" w:cs="Times New Roman" w:hAnsi="Times New Roman"/>
          <w:noProof/>
          <w:webHidden/>
        </w:rPr>
        <w:fldChar w:fldCharType="separate"/>
      </w:r>
      <w:r>
        <w:rPr>
          <w:rFonts w:ascii="Times New Roman" w:cs="Times New Roman" w:hAnsi="Times New Roman"/>
          <w:noProof/>
          <w:webHidden/>
        </w:rPr>
        <w:t>5</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"_Toc204249762" </w:instrText>
      </w:r>
      <w:r>
        <w:rPr/>
        <w:fldChar w:fldCharType="separate"/>
      </w:r>
      <w:r>
        <w:rPr>
          <w:rStyle w:val="style85"/>
          <w:rFonts w:ascii="Times New Roman" w:cs="Times New Roman" w:hAnsi="Times New Roman"/>
          <w:noProof/>
          <w:color w:val="auto"/>
        </w:rPr>
        <w:t>1.3.1. General objective</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_Toc204249762 \h </w:instrText>
      </w:r>
      <w:r>
        <w:rPr>
          <w:rFonts w:ascii="Times New Roman" w:cs="Times New Roman" w:hAnsi="Times New Roman"/>
          <w:noProof/>
          <w:webHidden/>
        </w:rPr>
        <w:fldChar w:fldCharType="separate"/>
      </w:r>
      <w:r>
        <w:rPr>
          <w:rFonts w:ascii="Times New Roman" w:cs="Times New Roman" w:hAnsi="Times New Roman"/>
          <w:noProof/>
          <w:webHidden/>
        </w:rPr>
        <w:t>5</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"_Toc204249763" </w:instrText>
      </w:r>
      <w:r>
        <w:rPr/>
        <w:fldChar w:fldCharType="separate"/>
      </w:r>
      <w:r>
        <w:rPr>
          <w:rStyle w:val="style85"/>
          <w:rFonts w:ascii="Times New Roman" w:cs="Times New Roman" w:hAnsi="Times New Roman"/>
          <w:noProof/>
          <w:color w:val="auto"/>
        </w:rPr>
        <w:t>1.3.2. Specific Objectives</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_Toc204249763 \h </w:instrText>
      </w:r>
      <w:r>
        <w:rPr>
          <w:rFonts w:ascii="Times New Roman" w:cs="Times New Roman" w:hAnsi="Times New Roman"/>
          <w:noProof/>
          <w:webHidden/>
        </w:rPr>
        <w:fldChar w:fldCharType="separate"/>
      </w:r>
      <w:r>
        <w:rPr>
          <w:rFonts w:ascii="Times New Roman" w:cs="Times New Roman" w:hAnsi="Times New Roman"/>
          <w:noProof/>
          <w:webHidden/>
        </w:rPr>
        <w:t>5</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"_Toc204249764" </w:instrText>
      </w:r>
      <w:r>
        <w:rPr/>
        <w:fldChar w:fldCharType="separate"/>
      </w:r>
      <w:r>
        <w:rPr>
          <w:rStyle w:val="style85"/>
          <w:rFonts w:ascii="Times New Roman" w:cs="Times New Roman" w:hAnsi="Times New Roman"/>
          <w:noProof/>
          <w:color w:val="auto"/>
        </w:rPr>
        <w:t>1.4. Research Questions</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_Toc204249764 \h </w:instrText>
      </w:r>
      <w:r>
        <w:rPr>
          <w:rFonts w:ascii="Times New Roman" w:cs="Times New Roman" w:hAnsi="Times New Roman"/>
          <w:noProof/>
          <w:webHidden/>
        </w:rPr>
        <w:fldChar w:fldCharType="separate"/>
      </w:r>
      <w:r>
        <w:rPr>
          <w:rFonts w:ascii="Times New Roman" w:cs="Times New Roman" w:hAnsi="Times New Roman"/>
          <w:noProof/>
          <w:webHidden/>
        </w:rPr>
        <w:t>6</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"_Toc204249765" </w:instrText>
      </w:r>
      <w:r>
        <w:rPr/>
        <w:fldChar w:fldCharType="separate"/>
      </w:r>
      <w:r>
        <w:rPr>
          <w:rStyle w:val="style85"/>
          <w:rFonts w:ascii="Times New Roman" w:cs="Times New Roman" w:hAnsi="Times New Roman"/>
          <w:noProof/>
          <w:color w:val="auto"/>
        </w:rPr>
        <w:t>1.5. Significance of the study</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_Toc204249765 \h </w:instrText>
      </w:r>
      <w:r>
        <w:rPr>
          <w:rFonts w:ascii="Times New Roman" w:cs="Times New Roman" w:hAnsi="Times New Roman"/>
          <w:noProof/>
          <w:webHidden/>
        </w:rPr>
        <w:fldChar w:fldCharType="separate"/>
      </w:r>
      <w:r>
        <w:rPr>
          <w:rFonts w:ascii="Times New Roman" w:cs="Times New Roman" w:hAnsi="Times New Roman"/>
          <w:noProof/>
          <w:webHidden/>
        </w:rPr>
        <w:t>6</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"_Toc204249766" </w:instrText>
      </w:r>
      <w:r>
        <w:rPr/>
        <w:fldChar w:fldCharType="separate"/>
      </w:r>
      <w:r>
        <w:rPr>
          <w:rStyle w:val="style85"/>
          <w:rFonts w:ascii="Times New Roman" w:cs="Times New Roman" w:hAnsi="Times New Roman"/>
          <w:noProof/>
          <w:color w:val="auto"/>
        </w:rPr>
        <w:t>1.6. Scope of the study</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_Toc204249766 \h </w:instrText>
      </w:r>
      <w:r>
        <w:rPr>
          <w:rFonts w:ascii="Times New Roman" w:cs="Times New Roman" w:hAnsi="Times New Roman"/>
          <w:noProof/>
          <w:webHidden/>
        </w:rPr>
        <w:fldChar w:fldCharType="separate"/>
      </w:r>
      <w:r>
        <w:rPr>
          <w:rFonts w:ascii="Times New Roman" w:cs="Times New Roman" w:hAnsi="Times New Roman"/>
          <w:noProof/>
          <w:webHidden/>
        </w:rPr>
        <w:t>6</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"_Toc204249767" </w:instrText>
      </w:r>
      <w:r>
        <w:rPr/>
        <w:fldChar w:fldCharType="separate"/>
      </w:r>
      <w:r>
        <w:rPr>
          <w:rStyle w:val="style85"/>
          <w:rFonts w:ascii="Times New Roman" w:cs="Times New Roman" w:hAnsi="Times New Roman"/>
          <w:noProof/>
          <w:color w:val="auto"/>
        </w:rPr>
        <w:t>1.7. Limitation of study</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_Toc204249767 \h </w:instrText>
      </w:r>
      <w:r>
        <w:rPr>
          <w:rFonts w:ascii="Times New Roman" w:cs="Times New Roman" w:hAnsi="Times New Roman"/>
          <w:noProof/>
          <w:webHidden/>
        </w:rPr>
        <w:fldChar w:fldCharType="separate"/>
      </w:r>
      <w:r>
        <w:rPr>
          <w:rFonts w:ascii="Times New Roman" w:cs="Times New Roman" w:hAnsi="Times New Roman"/>
          <w:noProof/>
          <w:webHidden/>
        </w:rPr>
        <w:t>6</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"_Toc204249768" </w:instrText>
      </w:r>
      <w:r>
        <w:rPr/>
        <w:fldChar w:fldCharType="separate"/>
      </w:r>
      <w:r>
        <w:rPr>
          <w:rStyle w:val="style85"/>
          <w:rFonts w:ascii="Times New Roman" w:cs="Times New Roman" w:hAnsi="Times New Roman"/>
          <w:noProof/>
          <w:color w:val="auto"/>
        </w:rPr>
        <w:t>1.8. Organizational study</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_Toc204249768 \h </w:instrText>
      </w:r>
      <w:r>
        <w:rPr>
          <w:rFonts w:ascii="Times New Roman" w:cs="Times New Roman" w:hAnsi="Times New Roman"/>
          <w:noProof/>
          <w:webHidden/>
        </w:rPr>
        <w:fldChar w:fldCharType="separate"/>
      </w:r>
      <w:r>
        <w:rPr>
          <w:rFonts w:ascii="Times New Roman" w:cs="Times New Roman" w:hAnsi="Times New Roman"/>
          <w:noProof/>
          <w:webHidden/>
        </w:rPr>
        <w:t>7</w:t>
      </w:r>
      <w:r>
        <w:rPr>
          <w:rFonts w:ascii="Times New Roman" w:cs="Times New Roman" w:hAnsi="Times New Roman"/>
          <w:noProof/>
          <w:webHidden/>
        </w:rPr>
        <w:fldChar w:fldCharType="end"/>
      </w:r>
      <w:r>
        <w:rPr/>
        <w:fldChar w:fldCharType="end"/>
      </w:r>
    </w:p>
    <w:p>
      <w:pPr>
        <w:pStyle w:val="style19"/>
        <w:tabs>
          <w:tab w:val="right" w:leader="dot" w:pos="9350"/>
        </w:tabs>
        <w:rPr>
          <w:rFonts w:ascii="Times New Roman" w:cs="Times New Roman" w:eastAsia="宋体" w:hAnsi="Times New Roman"/>
          <w:noProof/>
        </w:rPr>
      </w:pPr>
      <w:r>
        <w:rPr/>
        <w:fldChar w:fldCharType="begin"/>
      </w:r>
      <w:r>
        <w:instrText xml:space="preserve"> HYPERLINK \l "_Toc204249769" </w:instrText>
      </w:r>
      <w:r>
        <w:rPr/>
        <w:fldChar w:fldCharType="separate"/>
      </w:r>
      <w:r>
        <w:rPr>
          <w:rStyle w:val="style85"/>
          <w:rFonts w:ascii="Times New Roman" w:cs="Times New Roman" w:hAnsi="Times New Roman"/>
          <w:noProof/>
          <w:color w:val="auto"/>
        </w:rPr>
        <w:t>CHAPTER TWO</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_Toc204249769 \h </w:instrText>
      </w:r>
      <w:r>
        <w:rPr>
          <w:rFonts w:ascii="Times New Roman" w:cs="Times New Roman" w:hAnsi="Times New Roman"/>
          <w:noProof/>
          <w:webHidden/>
        </w:rPr>
        <w:fldChar w:fldCharType="separate"/>
      </w:r>
      <w:r>
        <w:rPr>
          <w:rFonts w:ascii="Times New Roman" w:cs="Times New Roman" w:hAnsi="Times New Roman"/>
          <w:noProof/>
          <w:webHidden/>
        </w:rPr>
        <w:t>8</w:t>
      </w:r>
      <w:r>
        <w:rPr>
          <w:rFonts w:ascii="Times New Roman" w:cs="Times New Roman" w:hAnsi="Times New Roman"/>
          <w:noProof/>
          <w:webHidden/>
        </w:rPr>
        <w:fldChar w:fldCharType="end"/>
      </w:r>
      <w:r>
        <w:rPr/>
        <w:fldChar w:fldCharType="end"/>
      </w:r>
    </w:p>
    <w:p>
      <w:pPr>
        <w:pStyle w:val="style20"/>
        <w:tabs>
          <w:tab w:val="right" w:leader="dot" w:pos="9350"/>
        </w:tabs>
        <w:rPr>
          <w:rFonts w:ascii="Times New Roman" w:cs="Times New Roman" w:eastAsia="宋体" w:hAnsi="Times New Roman"/>
          <w:noProof/>
        </w:rPr>
      </w:pPr>
      <w:r>
        <w:rPr/>
        <w:fldChar w:fldCharType="begin"/>
      </w:r>
      <w:r>
        <w:instrText xml:space="preserve"> HYPERLINK \l "_Toc204249770" </w:instrText>
      </w:r>
      <w:r>
        <w:rPr/>
        <w:fldChar w:fldCharType="separate"/>
      </w:r>
      <w:r>
        <w:rPr>
          <w:rStyle w:val="style85"/>
          <w:rFonts w:ascii="Times New Roman" w:cs="Times New Roman" w:hAnsi="Times New Roman"/>
          <w:noProof/>
          <w:color w:val="auto"/>
        </w:rPr>
        <w:t>2. LITERATURE REVIEW</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_Toc204249770 \h </w:instrText>
      </w:r>
      <w:r>
        <w:rPr>
          <w:rFonts w:ascii="Times New Roman" w:cs="Times New Roman" w:hAnsi="Times New Roman"/>
          <w:noProof/>
          <w:webHidden/>
        </w:rPr>
        <w:fldChar w:fldCharType="separate"/>
      </w:r>
      <w:r>
        <w:rPr>
          <w:rFonts w:ascii="Times New Roman" w:cs="Times New Roman" w:hAnsi="Times New Roman"/>
          <w:noProof/>
          <w:webHidden/>
        </w:rPr>
        <w:t>8</w:t>
      </w:r>
      <w:r>
        <w:rPr>
          <w:rFonts w:ascii="Times New Roman" w:cs="Times New Roman" w:hAnsi="Times New Roman"/>
          <w:noProof/>
          <w:webHidden/>
        </w:rPr>
        <w:fldChar w:fldCharType="end"/>
      </w:r>
      <w:r>
        <w:rPr/>
        <w:fldChar w:fldCharType="end"/>
      </w:r>
    </w:p>
    <w:p>
      <w:pPr>
        <w:pStyle w:val="style20"/>
        <w:tabs>
          <w:tab w:val="right" w:leader="dot" w:pos="9350"/>
        </w:tabs>
        <w:rPr>
          <w:rFonts w:ascii="Times New Roman" w:cs="Times New Roman" w:eastAsia="宋体" w:hAnsi="Times New Roman"/>
          <w:noProof/>
        </w:rPr>
      </w:pPr>
      <w:r>
        <w:rPr/>
        <w:fldChar w:fldCharType="begin"/>
      </w:r>
      <w:r>
        <w:instrText xml:space="preserve"> HYPERLINK \l "_Toc204249771" </w:instrText>
      </w:r>
      <w:r>
        <w:rPr/>
        <w:fldChar w:fldCharType="separate"/>
      </w:r>
      <w:r>
        <w:rPr>
          <w:rStyle w:val="style85"/>
          <w:rFonts w:ascii="Times New Roman" w:cs="Times New Roman" w:eastAsia="SimSun" w:hAnsi="Times New Roman"/>
          <w:b/>
          <w:bCs/>
          <w:noProof/>
          <w:color w:val="auto"/>
        </w:rPr>
        <w:t>2.1. Theoretical review</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_Toc204249771 \h </w:instrText>
      </w:r>
      <w:r>
        <w:rPr>
          <w:rFonts w:ascii="Times New Roman" w:cs="Times New Roman" w:hAnsi="Times New Roman"/>
          <w:noProof/>
          <w:webHidden/>
        </w:rPr>
        <w:fldChar w:fldCharType="separate"/>
      </w:r>
      <w:r>
        <w:rPr>
          <w:rFonts w:ascii="Times New Roman" w:cs="Times New Roman" w:hAnsi="Times New Roman"/>
          <w:noProof/>
          <w:webHidden/>
        </w:rPr>
        <w:t>8</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"_Toc204249772" </w:instrText>
      </w:r>
      <w:r>
        <w:rPr/>
        <w:fldChar w:fldCharType="separate"/>
      </w:r>
      <w:r>
        <w:rPr>
          <w:rStyle w:val="style85"/>
          <w:rFonts w:ascii="Times New Roman" w:cs="Times New Roman" w:hAnsi="Times New Roman"/>
          <w:noProof/>
          <w:color w:val="auto"/>
        </w:rPr>
        <w:t>2.2. Fairness/equity</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_Toc204249772 \h </w:instrText>
      </w:r>
      <w:r>
        <w:rPr>
          <w:rFonts w:ascii="Times New Roman" w:cs="Times New Roman" w:hAnsi="Times New Roman"/>
          <w:noProof/>
          <w:webHidden/>
        </w:rPr>
        <w:fldChar w:fldCharType="separate"/>
      </w:r>
      <w:r>
        <w:rPr>
          <w:rFonts w:ascii="Times New Roman" w:cs="Times New Roman" w:hAnsi="Times New Roman"/>
          <w:noProof/>
          <w:webHidden/>
        </w:rPr>
        <w:t>12</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"_Toc204249773" </w:instrText>
      </w:r>
      <w:r>
        <w:rPr/>
        <w:fldChar w:fldCharType="separate"/>
      </w:r>
      <w:r>
        <w:rPr>
          <w:rStyle w:val="style85"/>
          <w:rFonts w:ascii="Times New Roman" w:cs="Times New Roman" w:hAnsi="Times New Roman"/>
          <w:noProof/>
          <w:color w:val="auto"/>
        </w:rPr>
        <w:t>2.3. Organizational strength of tax authorities</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_Toc204249773 \h </w:instrText>
      </w:r>
      <w:r>
        <w:rPr>
          <w:rFonts w:ascii="Times New Roman" w:cs="Times New Roman" w:hAnsi="Times New Roman"/>
          <w:noProof/>
          <w:webHidden/>
        </w:rPr>
        <w:fldChar w:fldCharType="separate"/>
      </w:r>
      <w:r>
        <w:rPr>
          <w:rFonts w:ascii="Times New Roman" w:cs="Times New Roman" w:hAnsi="Times New Roman"/>
          <w:noProof/>
          <w:webHidden/>
        </w:rPr>
        <w:t>13</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"_Toc204249774" </w:instrText>
      </w:r>
      <w:r>
        <w:rPr/>
        <w:fldChar w:fldCharType="separate"/>
      </w:r>
      <w:r>
        <w:rPr>
          <w:rStyle w:val="style85"/>
          <w:rFonts w:ascii="Times New Roman" w:cs="Times New Roman" w:hAnsi="Times New Roman"/>
          <w:noProof/>
          <w:color w:val="auto"/>
        </w:rPr>
        <w:t>2.4. Non-Compliance Behavior</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_Toc204249774 \h </w:instrText>
      </w:r>
      <w:r>
        <w:rPr>
          <w:rFonts w:ascii="Times New Roman" w:cs="Times New Roman" w:hAnsi="Times New Roman"/>
          <w:noProof/>
          <w:webHidden/>
        </w:rPr>
        <w:fldChar w:fldCharType="separate"/>
      </w:r>
      <w:r>
        <w:rPr>
          <w:rFonts w:ascii="Times New Roman" w:cs="Times New Roman" w:hAnsi="Times New Roman"/>
          <w:noProof/>
          <w:webHidden/>
        </w:rPr>
        <w:t>19</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"_Toc204249775" </w:instrText>
      </w:r>
      <w:r>
        <w:rPr/>
        <w:fldChar w:fldCharType="separate"/>
      </w:r>
      <w:r>
        <w:rPr>
          <w:rStyle w:val="style85"/>
          <w:rFonts w:ascii="Times New Roman" w:cs="Times New Roman" w:hAnsi="Times New Roman"/>
          <w:noProof/>
          <w:color w:val="auto"/>
        </w:rPr>
        <w:t>2.5. Taxation in Ethiopia</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_Toc204249775 \h </w:instrText>
      </w:r>
      <w:r>
        <w:rPr>
          <w:rFonts w:ascii="Times New Roman" w:cs="Times New Roman" w:hAnsi="Times New Roman"/>
          <w:noProof/>
          <w:webHidden/>
        </w:rPr>
        <w:fldChar w:fldCharType="separate"/>
      </w:r>
      <w:r>
        <w:rPr>
          <w:rFonts w:ascii="Times New Roman" w:cs="Times New Roman" w:hAnsi="Times New Roman"/>
          <w:noProof/>
          <w:webHidden/>
        </w:rPr>
        <w:t>22</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"_Toc204249776" </w:instrText>
      </w:r>
      <w:r>
        <w:rPr/>
        <w:fldChar w:fldCharType="separate"/>
      </w:r>
      <w:r>
        <w:rPr>
          <w:rStyle w:val="style85"/>
          <w:rFonts w:ascii="Times New Roman" w:cs="Times New Roman" w:hAnsi="Times New Roman"/>
          <w:noProof/>
          <w:color w:val="auto"/>
        </w:rPr>
        <w:t>2.6. Tax Compliance</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_Toc204249776 \h </w:instrText>
      </w:r>
      <w:r>
        <w:rPr>
          <w:rFonts w:ascii="Times New Roman" w:cs="Times New Roman" w:hAnsi="Times New Roman"/>
          <w:noProof/>
          <w:webHidden/>
        </w:rPr>
        <w:fldChar w:fldCharType="separate"/>
      </w:r>
      <w:r>
        <w:rPr>
          <w:rFonts w:ascii="Times New Roman" w:cs="Times New Roman" w:hAnsi="Times New Roman"/>
          <w:noProof/>
          <w:webHidden/>
        </w:rPr>
        <w:t>23</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"_Toc204249777" </w:instrText>
      </w:r>
      <w:r>
        <w:rPr/>
        <w:fldChar w:fldCharType="separate"/>
      </w:r>
      <w:r>
        <w:rPr>
          <w:rStyle w:val="style85"/>
          <w:rFonts w:ascii="Times New Roman" w:cs="Times New Roman" w:hAnsi="Times New Roman"/>
          <w:noProof/>
          <w:color w:val="auto"/>
        </w:rPr>
        <w:t>2.7. Determinants of tax compliance</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_Toc204249777 \h </w:instrText>
      </w:r>
      <w:r>
        <w:rPr>
          <w:rFonts w:ascii="Times New Roman" w:cs="Times New Roman" w:hAnsi="Times New Roman"/>
          <w:noProof/>
          <w:webHidden/>
        </w:rPr>
        <w:fldChar w:fldCharType="separate"/>
      </w:r>
      <w:r>
        <w:rPr>
          <w:rFonts w:ascii="Times New Roman" w:cs="Times New Roman" w:hAnsi="Times New Roman"/>
          <w:noProof/>
          <w:webHidden/>
        </w:rPr>
        <w:t>25</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"_Toc204249778" </w:instrText>
      </w:r>
      <w:r>
        <w:rPr/>
        <w:fldChar w:fldCharType="separate"/>
      </w:r>
      <w:r>
        <w:rPr>
          <w:rStyle w:val="style85"/>
          <w:rFonts w:ascii="Times New Roman" w:cs="Times New Roman" w:hAnsi="Times New Roman"/>
          <w:noProof/>
          <w:color w:val="auto"/>
        </w:rPr>
        <w:t>2.8. Tax Audit</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_Toc204249778 \h </w:instrText>
      </w:r>
      <w:r>
        <w:rPr>
          <w:rFonts w:ascii="Times New Roman" w:cs="Times New Roman" w:hAnsi="Times New Roman"/>
          <w:noProof/>
          <w:webHidden/>
        </w:rPr>
        <w:fldChar w:fldCharType="separate"/>
      </w:r>
      <w:r>
        <w:rPr>
          <w:rFonts w:ascii="Times New Roman" w:cs="Times New Roman" w:hAnsi="Times New Roman"/>
          <w:noProof/>
          <w:webHidden/>
        </w:rPr>
        <w:t>26</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"_Toc204249779" </w:instrText>
      </w:r>
      <w:r>
        <w:rPr/>
        <w:fldChar w:fldCharType="separate"/>
      </w:r>
      <w:r>
        <w:rPr>
          <w:rStyle w:val="style85"/>
          <w:rFonts w:ascii="Times New Roman" w:cs="Times New Roman" w:hAnsi="Times New Roman"/>
          <w:noProof/>
          <w:color w:val="auto"/>
        </w:rPr>
        <w:t>2.9. Change son current government policy</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_Toc204249779 \h </w:instrText>
      </w:r>
      <w:r>
        <w:rPr>
          <w:rFonts w:ascii="Times New Roman" w:cs="Times New Roman" w:hAnsi="Times New Roman"/>
          <w:noProof/>
          <w:webHidden/>
        </w:rPr>
        <w:fldChar w:fldCharType="separate"/>
      </w:r>
      <w:r>
        <w:rPr>
          <w:rFonts w:ascii="Times New Roman" w:cs="Times New Roman" w:hAnsi="Times New Roman"/>
          <w:noProof/>
          <w:webHidden/>
        </w:rPr>
        <w:t>27</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"_Toc204249780" </w:instrText>
      </w:r>
      <w:r>
        <w:rPr/>
        <w:fldChar w:fldCharType="separate"/>
      </w:r>
      <w:r>
        <w:rPr>
          <w:rStyle w:val="style85"/>
          <w:rFonts w:ascii="Times New Roman" w:cs="Times New Roman" w:hAnsi="Times New Roman"/>
          <w:noProof/>
          <w:color w:val="auto"/>
        </w:rPr>
        <w:t>2.10. Empirical Studies and Knowledge Gap</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_Toc204249780 \h </w:instrText>
      </w:r>
      <w:r>
        <w:rPr>
          <w:rFonts w:ascii="Times New Roman" w:cs="Times New Roman" w:hAnsi="Times New Roman"/>
          <w:noProof/>
          <w:webHidden/>
        </w:rPr>
        <w:fldChar w:fldCharType="separate"/>
      </w:r>
      <w:r>
        <w:rPr>
          <w:rFonts w:ascii="Times New Roman" w:cs="Times New Roman" w:hAnsi="Times New Roman"/>
          <w:noProof/>
          <w:webHidden/>
        </w:rPr>
        <w:t>31</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"_Toc204249781" </w:instrText>
      </w:r>
      <w:r>
        <w:rPr/>
        <w:fldChar w:fldCharType="separate"/>
      </w:r>
      <w:r>
        <w:rPr>
          <w:rStyle w:val="style85"/>
          <w:rFonts w:ascii="Times New Roman" w:cs="Times New Roman" w:hAnsi="Times New Roman"/>
          <w:noProof/>
          <w:color w:val="auto"/>
        </w:rPr>
        <w:t>2.11. Conceptual framework</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_Toc204249781 \h </w:instrText>
      </w:r>
      <w:r>
        <w:rPr>
          <w:rFonts w:ascii="Times New Roman" w:cs="Times New Roman" w:hAnsi="Times New Roman"/>
          <w:noProof/>
          <w:webHidden/>
        </w:rPr>
        <w:fldChar w:fldCharType="separate"/>
      </w:r>
      <w:r>
        <w:rPr>
          <w:rFonts w:ascii="Times New Roman" w:cs="Times New Roman" w:hAnsi="Times New Roman"/>
          <w:noProof/>
          <w:webHidden/>
        </w:rPr>
        <w:t>33</w:t>
      </w:r>
      <w:r>
        <w:rPr>
          <w:rFonts w:ascii="Times New Roman" w:cs="Times New Roman" w:hAnsi="Times New Roman"/>
          <w:noProof/>
          <w:webHidden/>
        </w:rPr>
        <w:fldChar w:fldCharType="end"/>
      </w:r>
      <w:r>
        <w:rPr/>
        <w:fldChar w:fldCharType="end"/>
      </w:r>
    </w:p>
    <w:p>
      <w:pPr>
        <w:pStyle w:val="style19"/>
        <w:tabs>
          <w:tab w:val="right" w:leader="dot" w:pos="9350"/>
        </w:tabs>
        <w:rPr>
          <w:rFonts w:ascii="Times New Roman" w:cs="Times New Roman" w:eastAsia="宋体" w:hAnsi="Times New Roman"/>
          <w:noProof/>
        </w:rPr>
      </w:pPr>
      <w:r>
        <w:rPr/>
        <w:fldChar w:fldCharType="begin"/>
      </w:r>
      <w:r>
        <w:instrText xml:space="preserve"> HYPERLINK \l "_Toc204249782" </w:instrText>
      </w:r>
      <w:r>
        <w:rPr/>
        <w:fldChar w:fldCharType="separate"/>
      </w:r>
      <w:r>
        <w:rPr>
          <w:rStyle w:val="style85"/>
          <w:rFonts w:ascii="Times New Roman" w:cs="Times New Roman" w:eastAsia="宋体" w:hAnsi="Times New Roman"/>
          <w:b/>
          <w:bCs/>
          <w:noProof/>
          <w:color w:val="auto"/>
        </w:rPr>
        <w:t>CHAPTER THREE</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_Toc204249782 \h </w:instrText>
      </w:r>
      <w:r>
        <w:rPr>
          <w:rFonts w:ascii="Times New Roman" w:cs="Times New Roman" w:hAnsi="Times New Roman"/>
          <w:noProof/>
          <w:webHidden/>
        </w:rPr>
        <w:fldChar w:fldCharType="separate"/>
      </w:r>
      <w:r>
        <w:rPr>
          <w:rFonts w:ascii="Times New Roman" w:cs="Times New Roman" w:hAnsi="Times New Roman"/>
          <w:noProof/>
          <w:webHidden/>
        </w:rPr>
        <w:t>35</w:t>
      </w:r>
      <w:r>
        <w:rPr>
          <w:rFonts w:ascii="Times New Roman" w:cs="Times New Roman" w:hAnsi="Times New Roman"/>
          <w:noProof/>
          <w:webHidden/>
        </w:rPr>
        <w:fldChar w:fldCharType="end"/>
      </w:r>
      <w:r>
        <w:rPr/>
        <w:fldChar w:fldCharType="end"/>
      </w:r>
    </w:p>
    <w:p>
      <w:pPr>
        <w:pStyle w:val="style20"/>
        <w:tabs>
          <w:tab w:val="right" w:leader="dot" w:pos="9350"/>
        </w:tabs>
        <w:rPr>
          <w:rFonts w:ascii="Times New Roman" w:cs="Times New Roman" w:eastAsia="宋体" w:hAnsi="Times New Roman"/>
          <w:noProof/>
        </w:rPr>
      </w:pPr>
      <w:r>
        <w:rPr/>
        <w:fldChar w:fldCharType="begin"/>
      </w:r>
      <w:r>
        <w:instrText xml:space="preserve"> HYPERLINK \l "_Toc204249783" </w:instrText>
      </w:r>
      <w:r>
        <w:rPr/>
        <w:fldChar w:fldCharType="separate"/>
      </w:r>
      <w:r>
        <w:rPr>
          <w:rStyle w:val="style85"/>
          <w:rFonts w:ascii="Times New Roman" w:cs="Times New Roman" w:eastAsia="Times New Roman" w:hAnsi="Times New Roman"/>
          <w:b/>
          <w:bCs/>
          <w:noProof/>
          <w:color w:val="auto"/>
        </w:rPr>
        <w:t>3.  METHODOLOGY</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_Toc204249783 \h </w:instrText>
      </w:r>
      <w:r>
        <w:rPr>
          <w:rFonts w:ascii="Times New Roman" w:cs="Times New Roman" w:hAnsi="Times New Roman"/>
          <w:noProof/>
          <w:webHidden/>
        </w:rPr>
        <w:fldChar w:fldCharType="separate"/>
      </w:r>
      <w:r>
        <w:rPr>
          <w:rFonts w:ascii="Times New Roman" w:cs="Times New Roman" w:hAnsi="Times New Roman"/>
          <w:noProof/>
          <w:webHidden/>
        </w:rPr>
        <w:t>35</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"_Toc204249784" </w:instrText>
      </w:r>
      <w:r>
        <w:rPr/>
        <w:fldChar w:fldCharType="separate"/>
      </w:r>
      <w:r>
        <w:rPr>
          <w:rStyle w:val="style85"/>
          <w:rFonts w:ascii="Times New Roman" w:cs="Times New Roman" w:hAnsi="Times New Roman"/>
          <w:noProof/>
          <w:color w:val="auto"/>
        </w:rPr>
        <w:t>3.1 Research Design</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_Toc204249784 \h </w:instrText>
      </w:r>
      <w:r>
        <w:rPr>
          <w:rFonts w:ascii="Times New Roman" w:cs="Times New Roman" w:hAnsi="Times New Roman"/>
          <w:noProof/>
          <w:webHidden/>
        </w:rPr>
        <w:fldChar w:fldCharType="separate"/>
      </w:r>
      <w:r>
        <w:rPr>
          <w:rFonts w:ascii="Times New Roman" w:cs="Times New Roman" w:hAnsi="Times New Roman"/>
          <w:noProof/>
          <w:webHidden/>
        </w:rPr>
        <w:t>35</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"_Toc204249785" </w:instrText>
      </w:r>
      <w:r>
        <w:rPr/>
        <w:fldChar w:fldCharType="separate"/>
      </w:r>
      <w:r>
        <w:rPr>
          <w:rStyle w:val="style85"/>
          <w:rFonts w:ascii="Times New Roman" w:cs="Times New Roman" w:hAnsi="Times New Roman"/>
          <w:noProof/>
          <w:color w:val="auto"/>
        </w:rPr>
        <w:t>3.2. Research Approach</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_Toc204249785 \h </w:instrText>
      </w:r>
      <w:r>
        <w:rPr>
          <w:rFonts w:ascii="Times New Roman" w:cs="Times New Roman" w:hAnsi="Times New Roman"/>
          <w:noProof/>
          <w:webHidden/>
        </w:rPr>
        <w:fldChar w:fldCharType="separate"/>
      </w:r>
      <w:r>
        <w:rPr>
          <w:rFonts w:ascii="Times New Roman" w:cs="Times New Roman" w:hAnsi="Times New Roman"/>
          <w:noProof/>
          <w:webHidden/>
        </w:rPr>
        <w:t>35</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"_Toc204249786" </w:instrText>
      </w:r>
      <w:r>
        <w:rPr/>
        <w:fldChar w:fldCharType="separate"/>
      </w:r>
      <w:r>
        <w:rPr>
          <w:rStyle w:val="style85"/>
          <w:rFonts w:ascii="Times New Roman" w:cs="Times New Roman" w:hAnsi="Times New Roman"/>
          <w:noProof/>
          <w:color w:val="auto"/>
        </w:rPr>
        <w:t>3.3. Target Population</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_Toc204249786 \h </w:instrText>
      </w:r>
      <w:r>
        <w:rPr>
          <w:rFonts w:ascii="Times New Roman" w:cs="Times New Roman" w:hAnsi="Times New Roman"/>
          <w:noProof/>
          <w:webHidden/>
        </w:rPr>
        <w:fldChar w:fldCharType="separate"/>
      </w:r>
      <w:r>
        <w:rPr>
          <w:rFonts w:ascii="Times New Roman" w:cs="Times New Roman" w:hAnsi="Times New Roman"/>
          <w:noProof/>
          <w:webHidden/>
        </w:rPr>
        <w:t>36</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"_Toc204249787" </w:instrText>
      </w:r>
      <w:r>
        <w:rPr/>
        <w:fldChar w:fldCharType="separate"/>
      </w:r>
      <w:r>
        <w:rPr>
          <w:rStyle w:val="style85"/>
          <w:rFonts w:ascii="Times New Roman" w:cs="Times New Roman" w:hAnsi="Times New Roman"/>
          <w:noProof/>
          <w:color w:val="auto"/>
        </w:rPr>
        <w:t>3.4. Sampling Technique and Sample Size Determination</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_Toc204249787 \h </w:instrText>
      </w:r>
      <w:r>
        <w:rPr>
          <w:rFonts w:ascii="Times New Roman" w:cs="Times New Roman" w:hAnsi="Times New Roman"/>
          <w:noProof/>
          <w:webHidden/>
        </w:rPr>
        <w:fldChar w:fldCharType="separate"/>
      </w:r>
      <w:r>
        <w:rPr>
          <w:rFonts w:ascii="Times New Roman" w:cs="Times New Roman" w:hAnsi="Times New Roman"/>
          <w:noProof/>
          <w:webHidden/>
        </w:rPr>
        <w:t>37</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"_Toc204249788" </w:instrText>
      </w:r>
      <w:r>
        <w:rPr/>
        <w:fldChar w:fldCharType="separate"/>
      </w:r>
      <w:r>
        <w:rPr>
          <w:rStyle w:val="style85"/>
          <w:rFonts w:ascii="Times New Roman" w:cs="Times New Roman" w:hAnsi="Times New Roman"/>
          <w:noProof/>
          <w:color w:val="auto"/>
        </w:rPr>
        <w:t>3.5. Source and Method of data collection</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_Toc204249788 \h </w:instrText>
      </w:r>
      <w:r>
        <w:rPr>
          <w:rFonts w:ascii="Times New Roman" w:cs="Times New Roman" w:hAnsi="Times New Roman"/>
          <w:noProof/>
          <w:webHidden/>
        </w:rPr>
        <w:fldChar w:fldCharType="separate"/>
      </w:r>
      <w:r>
        <w:rPr>
          <w:rFonts w:ascii="Times New Roman" w:cs="Times New Roman" w:hAnsi="Times New Roman"/>
          <w:noProof/>
          <w:webHidden/>
        </w:rPr>
        <w:t>37</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"_Toc204249789" </w:instrText>
      </w:r>
      <w:r>
        <w:rPr/>
        <w:fldChar w:fldCharType="separate"/>
      </w:r>
      <w:r>
        <w:rPr>
          <w:rStyle w:val="style85"/>
          <w:rFonts w:ascii="Times New Roman" w:cs="Times New Roman" w:hAnsi="Times New Roman"/>
          <w:noProof/>
          <w:color w:val="auto"/>
        </w:rPr>
        <w:t>3.6. Date Collection Instruments</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_Toc204249789 \h </w:instrText>
      </w:r>
      <w:r>
        <w:rPr>
          <w:rFonts w:ascii="Times New Roman" w:cs="Times New Roman" w:hAnsi="Times New Roman"/>
          <w:noProof/>
          <w:webHidden/>
        </w:rPr>
        <w:fldChar w:fldCharType="separate"/>
      </w:r>
      <w:r>
        <w:rPr>
          <w:rFonts w:ascii="Times New Roman" w:cs="Times New Roman" w:hAnsi="Times New Roman"/>
          <w:noProof/>
          <w:webHidden/>
        </w:rPr>
        <w:t>38</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"_Toc204249790" </w:instrText>
      </w:r>
      <w:r>
        <w:rPr/>
        <w:fldChar w:fldCharType="separate"/>
      </w:r>
      <w:r>
        <w:rPr>
          <w:rStyle w:val="style85"/>
          <w:rFonts w:ascii="Times New Roman" w:cs="Times New Roman" w:hAnsi="Times New Roman"/>
          <w:noProof/>
          <w:color w:val="auto"/>
        </w:rPr>
        <w:t>3.7. Method of Data Analysis</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_Toc204249790 \h </w:instrText>
      </w:r>
      <w:r>
        <w:rPr>
          <w:rFonts w:ascii="Times New Roman" w:cs="Times New Roman" w:hAnsi="Times New Roman"/>
          <w:noProof/>
          <w:webHidden/>
        </w:rPr>
        <w:fldChar w:fldCharType="separate"/>
      </w:r>
      <w:r>
        <w:rPr>
          <w:rFonts w:ascii="Times New Roman" w:cs="Times New Roman" w:hAnsi="Times New Roman"/>
          <w:noProof/>
          <w:webHidden/>
        </w:rPr>
        <w:t>38</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"_Toc204249791" </w:instrText>
      </w:r>
      <w:r>
        <w:rPr/>
        <w:fldChar w:fldCharType="separate"/>
      </w:r>
      <w:r>
        <w:rPr>
          <w:rStyle w:val="style85"/>
          <w:rFonts w:ascii="Times New Roman" w:cs="Times New Roman" w:hAnsi="Times New Roman"/>
          <w:noProof/>
          <w:color w:val="auto"/>
        </w:rPr>
        <w:t>3.8 Model of study</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_Toc204249791 \h </w:instrText>
      </w:r>
      <w:r>
        <w:rPr>
          <w:rFonts w:ascii="Times New Roman" w:cs="Times New Roman" w:hAnsi="Times New Roman"/>
          <w:noProof/>
          <w:webHidden/>
        </w:rPr>
        <w:fldChar w:fldCharType="separate"/>
      </w:r>
      <w:r>
        <w:rPr>
          <w:rFonts w:ascii="Times New Roman" w:cs="Times New Roman" w:hAnsi="Times New Roman"/>
          <w:noProof/>
          <w:webHidden/>
        </w:rPr>
        <w:t>39</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"_Toc204249792" </w:instrText>
      </w:r>
      <w:r>
        <w:rPr/>
        <w:fldChar w:fldCharType="separate"/>
      </w:r>
      <w:r>
        <w:rPr>
          <w:rStyle w:val="style85"/>
          <w:rFonts w:ascii="Times New Roman" w:cs="Times New Roman" w:hAnsi="Times New Roman"/>
          <w:noProof/>
          <w:color w:val="auto"/>
        </w:rPr>
        <w:t>3.10. Ethical consideration</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_Toc204249792 \h </w:instrText>
      </w:r>
      <w:r>
        <w:rPr>
          <w:rFonts w:ascii="Times New Roman" w:cs="Times New Roman" w:hAnsi="Times New Roman"/>
          <w:noProof/>
          <w:webHidden/>
        </w:rPr>
        <w:fldChar w:fldCharType="separate"/>
      </w:r>
      <w:r>
        <w:rPr>
          <w:rFonts w:ascii="Times New Roman" w:cs="Times New Roman" w:hAnsi="Times New Roman"/>
          <w:noProof/>
          <w:webHidden/>
        </w:rPr>
        <w:t>41</w:t>
      </w:r>
      <w:r>
        <w:rPr>
          <w:rFonts w:ascii="Times New Roman" w:cs="Times New Roman" w:hAnsi="Times New Roman"/>
          <w:noProof/>
          <w:webHidden/>
        </w:rPr>
        <w:fldChar w:fldCharType="end"/>
      </w:r>
      <w:r>
        <w:rPr/>
        <w:fldChar w:fldCharType="end"/>
      </w:r>
    </w:p>
    <w:p>
      <w:pPr>
        <w:pStyle w:val="style19"/>
        <w:tabs>
          <w:tab w:val="right" w:leader="dot" w:pos="9350"/>
        </w:tabs>
        <w:rPr>
          <w:rFonts w:ascii="Times New Roman" w:cs="Times New Roman" w:eastAsia="宋体" w:hAnsi="Times New Roman"/>
          <w:noProof/>
        </w:rPr>
      </w:pPr>
      <w:r>
        <w:rPr/>
        <w:fldChar w:fldCharType="begin"/>
      </w:r>
      <w:r>
        <w:instrText xml:space="preserve"> HYPERLINK \l "_Toc204249793" </w:instrText>
      </w:r>
      <w:r>
        <w:rPr/>
        <w:fldChar w:fldCharType="separate"/>
      </w:r>
      <w:r>
        <w:rPr>
          <w:rStyle w:val="style85"/>
          <w:rFonts w:ascii="Times New Roman" w:cs="Times New Roman" w:hAnsi="Times New Roman"/>
          <w:noProof/>
          <w:color w:val="auto"/>
        </w:rPr>
        <w:t>CHAPTER FOUR</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_Toc204249793 \h </w:instrText>
      </w:r>
      <w:r>
        <w:rPr>
          <w:rFonts w:ascii="Times New Roman" w:cs="Times New Roman" w:hAnsi="Times New Roman"/>
          <w:noProof/>
          <w:webHidden/>
        </w:rPr>
        <w:fldChar w:fldCharType="separate"/>
      </w:r>
      <w:r>
        <w:rPr>
          <w:rFonts w:ascii="Times New Roman" w:cs="Times New Roman" w:hAnsi="Times New Roman"/>
          <w:noProof/>
          <w:webHidden/>
        </w:rPr>
        <w:t>42</w:t>
      </w:r>
      <w:r>
        <w:rPr>
          <w:rFonts w:ascii="Times New Roman" w:cs="Times New Roman" w:hAnsi="Times New Roman"/>
          <w:noProof/>
          <w:webHidden/>
        </w:rPr>
        <w:fldChar w:fldCharType="end"/>
      </w:r>
      <w:r>
        <w:rPr/>
        <w:fldChar w:fldCharType="end"/>
      </w:r>
    </w:p>
    <w:p>
      <w:pPr>
        <w:pStyle w:val="style20"/>
        <w:tabs>
          <w:tab w:val="right" w:leader="dot" w:pos="9350"/>
        </w:tabs>
        <w:rPr>
          <w:rFonts w:ascii="Times New Roman" w:cs="Times New Roman" w:eastAsia="宋体" w:hAnsi="Times New Roman"/>
          <w:noProof/>
        </w:rPr>
      </w:pPr>
      <w:r>
        <w:rPr/>
        <w:fldChar w:fldCharType="begin"/>
      </w:r>
      <w:r>
        <w:instrText xml:space="preserve"> HYPERLINK \l "_Toc204249794" </w:instrText>
      </w:r>
      <w:r>
        <w:rPr/>
        <w:fldChar w:fldCharType="separate"/>
      </w:r>
      <w:r>
        <w:rPr>
          <w:rStyle w:val="style85"/>
          <w:rFonts w:ascii="Times New Roman" w:cs="Times New Roman" w:hAnsi="Times New Roman"/>
          <w:noProof/>
          <w:color w:val="auto"/>
        </w:rPr>
        <w:t>4. RESULTS AND DISCUSSIONS</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_Toc204249794 \h </w:instrText>
      </w:r>
      <w:r>
        <w:rPr>
          <w:rFonts w:ascii="Times New Roman" w:cs="Times New Roman" w:hAnsi="Times New Roman"/>
          <w:noProof/>
          <w:webHidden/>
        </w:rPr>
        <w:fldChar w:fldCharType="separate"/>
      </w:r>
      <w:r>
        <w:rPr>
          <w:rFonts w:ascii="Times New Roman" w:cs="Times New Roman" w:hAnsi="Times New Roman"/>
          <w:noProof/>
          <w:webHidden/>
        </w:rPr>
        <w:t>42</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"_Toc204249795" </w:instrText>
      </w:r>
      <w:r>
        <w:rPr/>
        <w:fldChar w:fldCharType="separate"/>
      </w:r>
      <w:r>
        <w:rPr>
          <w:rStyle w:val="style85"/>
          <w:rFonts w:ascii="Times New Roman" w:cs="Times New Roman" w:hAnsi="Times New Roman"/>
          <w:noProof/>
          <w:color w:val="auto"/>
        </w:rPr>
        <w:t>4.1. Introduction</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_Toc204249795 \h </w:instrText>
      </w:r>
      <w:r>
        <w:rPr>
          <w:rFonts w:ascii="Times New Roman" w:cs="Times New Roman" w:hAnsi="Times New Roman"/>
          <w:noProof/>
          <w:webHidden/>
        </w:rPr>
        <w:fldChar w:fldCharType="separate"/>
      </w:r>
      <w:r>
        <w:rPr>
          <w:rFonts w:ascii="Times New Roman" w:cs="Times New Roman" w:hAnsi="Times New Roman"/>
          <w:noProof/>
          <w:webHidden/>
        </w:rPr>
        <w:t>42</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"_Toc204249796" </w:instrText>
      </w:r>
      <w:r>
        <w:rPr/>
        <w:fldChar w:fldCharType="separate"/>
      </w:r>
      <w:r>
        <w:rPr>
          <w:rStyle w:val="style85"/>
          <w:rFonts w:ascii="Times New Roman" w:cs="Times New Roman" w:hAnsi="Times New Roman"/>
          <w:noProof/>
          <w:color w:val="auto"/>
        </w:rPr>
        <w:t>4.2. Respondents general background</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_Toc204249796 \h </w:instrText>
      </w:r>
      <w:r>
        <w:rPr>
          <w:rFonts w:ascii="Times New Roman" w:cs="Times New Roman" w:hAnsi="Times New Roman"/>
          <w:noProof/>
          <w:webHidden/>
        </w:rPr>
        <w:fldChar w:fldCharType="separate"/>
      </w:r>
      <w:r>
        <w:rPr>
          <w:rFonts w:ascii="Times New Roman" w:cs="Times New Roman" w:hAnsi="Times New Roman"/>
          <w:noProof/>
          <w:webHidden/>
        </w:rPr>
        <w:t>42</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"_Toc204249797" </w:instrText>
      </w:r>
      <w:r>
        <w:rPr/>
        <w:fldChar w:fldCharType="separate"/>
      </w:r>
      <w:r>
        <w:rPr>
          <w:rStyle w:val="style85"/>
          <w:rFonts w:ascii="Times New Roman" w:cs="Times New Roman" w:hAnsi="Times New Roman"/>
          <w:noProof/>
          <w:color w:val="auto"/>
        </w:rPr>
        <w:t>4.3. Descriptive Analysis of Tax Compliance</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_Toc204249797 \h </w:instrText>
      </w:r>
      <w:r>
        <w:rPr>
          <w:rFonts w:ascii="Times New Roman" w:cs="Times New Roman" w:hAnsi="Times New Roman"/>
          <w:noProof/>
          <w:webHidden/>
        </w:rPr>
        <w:fldChar w:fldCharType="separate"/>
      </w:r>
      <w:r>
        <w:rPr>
          <w:rFonts w:ascii="Times New Roman" w:cs="Times New Roman" w:hAnsi="Times New Roman"/>
          <w:noProof/>
          <w:webHidden/>
        </w:rPr>
        <w:t>47</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"_Toc204249798" </w:instrText>
      </w:r>
      <w:r>
        <w:rPr/>
        <w:fldChar w:fldCharType="separate"/>
      </w:r>
      <w:r>
        <w:rPr>
          <w:rStyle w:val="style85"/>
          <w:rFonts w:ascii="Times New Roman" w:cs="Times New Roman" w:hAnsi="Times New Roman"/>
          <w:noProof/>
          <w:color w:val="auto"/>
        </w:rPr>
        <w:t>4.4. Determinants of tax compliance– Ordered probit model</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_Toc204249798 \h </w:instrText>
      </w:r>
      <w:r>
        <w:rPr>
          <w:rFonts w:ascii="Times New Roman" w:cs="Times New Roman" w:hAnsi="Times New Roman"/>
          <w:noProof/>
          <w:webHidden/>
        </w:rPr>
        <w:fldChar w:fldCharType="separate"/>
      </w:r>
      <w:r>
        <w:rPr>
          <w:rFonts w:ascii="Times New Roman" w:cs="Times New Roman" w:hAnsi="Times New Roman"/>
          <w:noProof/>
          <w:webHidden/>
        </w:rPr>
        <w:t>55</w:t>
      </w:r>
      <w:r>
        <w:rPr>
          <w:rFonts w:ascii="Times New Roman" w:cs="Times New Roman" w:hAnsi="Times New Roman"/>
          <w:noProof/>
          <w:webHidden/>
        </w:rPr>
        <w:fldChar w:fldCharType="end"/>
      </w:r>
      <w:r>
        <w:rPr/>
        <w:fldChar w:fldCharType="end"/>
      </w:r>
    </w:p>
    <w:p>
      <w:pPr>
        <w:pStyle w:val="style19"/>
        <w:tabs>
          <w:tab w:val="right" w:leader="dot" w:pos="9350"/>
        </w:tabs>
        <w:rPr>
          <w:rFonts w:ascii="Times New Roman" w:cs="Times New Roman" w:eastAsia="宋体" w:hAnsi="Times New Roman"/>
          <w:noProof/>
        </w:rPr>
      </w:pPr>
      <w:r>
        <w:rPr/>
        <w:fldChar w:fldCharType="begin"/>
      </w:r>
      <w:r>
        <w:instrText xml:space="preserve"> HYPERLINK \l "_Toc204249799" </w:instrText>
      </w:r>
      <w:r>
        <w:rPr/>
        <w:fldChar w:fldCharType="separate"/>
      </w:r>
      <w:r>
        <w:rPr>
          <w:rStyle w:val="style85"/>
          <w:rFonts w:ascii="Times New Roman" w:cs="Times New Roman" w:hAnsi="Times New Roman"/>
          <w:noProof/>
          <w:color w:val="auto"/>
        </w:rPr>
        <w:t>CHAPTERFIVE</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_Toc204249799 \h </w:instrText>
      </w:r>
      <w:r>
        <w:rPr>
          <w:rFonts w:ascii="Times New Roman" w:cs="Times New Roman" w:hAnsi="Times New Roman"/>
          <w:noProof/>
          <w:webHidden/>
        </w:rPr>
        <w:fldChar w:fldCharType="separate"/>
      </w:r>
      <w:r>
        <w:rPr>
          <w:rFonts w:ascii="Times New Roman" w:cs="Times New Roman" w:hAnsi="Times New Roman"/>
          <w:noProof/>
          <w:webHidden/>
        </w:rPr>
        <w:t>59</w:t>
      </w:r>
      <w:r>
        <w:rPr>
          <w:rFonts w:ascii="Times New Roman" w:cs="Times New Roman" w:hAnsi="Times New Roman"/>
          <w:noProof/>
          <w:webHidden/>
        </w:rPr>
        <w:fldChar w:fldCharType="end"/>
      </w:r>
      <w:r>
        <w:rPr/>
        <w:fldChar w:fldCharType="end"/>
      </w:r>
    </w:p>
    <w:p>
      <w:pPr>
        <w:pStyle w:val="style20"/>
        <w:tabs>
          <w:tab w:val="right" w:leader="dot" w:pos="9350"/>
        </w:tabs>
        <w:rPr>
          <w:rFonts w:ascii="Times New Roman" w:cs="Times New Roman" w:eastAsia="宋体" w:hAnsi="Times New Roman"/>
          <w:noProof/>
        </w:rPr>
      </w:pPr>
      <w:r>
        <w:rPr/>
        <w:fldChar w:fldCharType="begin"/>
      </w:r>
      <w:r>
        <w:instrText xml:space="preserve"> HYPERLINK \l "_Toc204249800" </w:instrText>
      </w:r>
      <w:r>
        <w:rPr/>
        <w:fldChar w:fldCharType="separate"/>
      </w:r>
      <w:r>
        <w:rPr>
          <w:rStyle w:val="style85"/>
          <w:rFonts w:ascii="Times New Roman" w:cs="Times New Roman" w:hAnsi="Times New Roman"/>
          <w:noProof/>
          <w:color w:val="auto"/>
        </w:rPr>
        <w:t>5. CONCLUSIONS AND RECOMMENDATION</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_Toc204249800 \h </w:instrText>
      </w:r>
      <w:r>
        <w:rPr>
          <w:rFonts w:ascii="Times New Roman" w:cs="Times New Roman" w:hAnsi="Times New Roman"/>
          <w:noProof/>
          <w:webHidden/>
        </w:rPr>
        <w:fldChar w:fldCharType="separate"/>
      </w:r>
      <w:r>
        <w:rPr>
          <w:rFonts w:ascii="Times New Roman" w:cs="Times New Roman" w:hAnsi="Times New Roman"/>
          <w:noProof/>
          <w:webHidden/>
        </w:rPr>
        <w:t>59</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"_Toc204249801" </w:instrText>
      </w:r>
      <w:r>
        <w:rPr/>
        <w:fldChar w:fldCharType="separate"/>
      </w:r>
      <w:r>
        <w:rPr>
          <w:rStyle w:val="style85"/>
          <w:rFonts w:ascii="Times New Roman" w:cs="Times New Roman" w:hAnsi="Times New Roman"/>
          <w:noProof/>
          <w:color w:val="auto"/>
        </w:rPr>
        <w:t>5.1. Conclusions</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_Toc204249801 \h </w:instrText>
      </w:r>
      <w:r>
        <w:rPr>
          <w:rFonts w:ascii="Times New Roman" w:cs="Times New Roman" w:hAnsi="Times New Roman"/>
          <w:noProof/>
          <w:webHidden/>
        </w:rPr>
        <w:fldChar w:fldCharType="separate"/>
      </w:r>
      <w:r>
        <w:rPr>
          <w:rFonts w:ascii="Times New Roman" w:cs="Times New Roman" w:hAnsi="Times New Roman"/>
          <w:noProof/>
          <w:webHidden/>
        </w:rPr>
        <w:t>59</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"_Toc204249802" </w:instrText>
      </w:r>
      <w:r>
        <w:rPr/>
        <w:fldChar w:fldCharType="separate"/>
      </w:r>
      <w:r>
        <w:rPr>
          <w:rStyle w:val="style85"/>
          <w:rFonts w:ascii="Times New Roman" w:cs="Times New Roman" w:hAnsi="Times New Roman"/>
          <w:noProof/>
          <w:color w:val="auto"/>
        </w:rPr>
        <w:t>5.2. Recommendations</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_Toc204249802 \h </w:instrText>
      </w:r>
      <w:r>
        <w:rPr>
          <w:rFonts w:ascii="Times New Roman" w:cs="Times New Roman" w:hAnsi="Times New Roman"/>
          <w:noProof/>
          <w:webHidden/>
        </w:rPr>
        <w:fldChar w:fldCharType="separate"/>
      </w:r>
      <w:r>
        <w:rPr>
          <w:rFonts w:ascii="Times New Roman" w:cs="Times New Roman" w:hAnsi="Times New Roman"/>
          <w:noProof/>
          <w:webHidden/>
        </w:rPr>
        <w:t>61</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"_Toc204249803" </w:instrText>
      </w:r>
      <w:r>
        <w:rPr/>
        <w:fldChar w:fldCharType="separate"/>
      </w:r>
      <w:r>
        <w:rPr>
          <w:rStyle w:val="style85"/>
          <w:rFonts w:ascii="Times New Roman" w:cs="Times New Roman" w:hAnsi="Times New Roman"/>
          <w:noProof/>
          <w:color w:val="auto"/>
        </w:rPr>
        <w:t>REFERENCES</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_Toc204249803 \h </w:instrText>
      </w:r>
      <w:r>
        <w:rPr>
          <w:rFonts w:ascii="Times New Roman" w:cs="Times New Roman" w:hAnsi="Times New Roman"/>
          <w:noProof/>
          <w:webHidden/>
        </w:rPr>
        <w:fldChar w:fldCharType="separate"/>
      </w:r>
      <w:r>
        <w:rPr>
          <w:rFonts w:ascii="Times New Roman" w:cs="Times New Roman" w:hAnsi="Times New Roman"/>
          <w:noProof/>
          <w:webHidden/>
        </w:rPr>
        <w:t>63</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"_Toc204249804" </w:instrText>
      </w:r>
      <w:r>
        <w:rPr/>
        <w:fldChar w:fldCharType="separate"/>
      </w:r>
      <w:r>
        <w:rPr>
          <w:rStyle w:val="style85"/>
          <w:rFonts w:ascii="Times New Roman" w:cs="Times New Roman" w:hAnsi="Times New Roman"/>
          <w:noProof/>
          <w:color w:val="auto"/>
        </w:rPr>
        <w:t>Appendix A: Respondents Questionnaire (English Version)</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_Toc204249804 \h </w:instrText>
      </w:r>
      <w:r>
        <w:rPr>
          <w:rFonts w:ascii="Times New Roman" w:cs="Times New Roman" w:hAnsi="Times New Roman"/>
          <w:noProof/>
          <w:webHidden/>
        </w:rPr>
        <w:fldChar w:fldCharType="separate"/>
      </w:r>
      <w:r>
        <w:rPr>
          <w:rFonts w:ascii="Times New Roman" w:cs="Times New Roman" w:hAnsi="Times New Roman"/>
          <w:noProof/>
          <w:webHidden/>
        </w:rPr>
        <w:t>71</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"_Toc204249805" </w:instrText>
      </w:r>
      <w:r>
        <w:rPr/>
        <w:fldChar w:fldCharType="separate"/>
      </w:r>
      <w:r>
        <w:rPr>
          <w:rStyle w:val="style85"/>
          <w:rFonts w:ascii="Times New Roman" w:cs="Times New Roman" w:hAnsi="Times New Roman"/>
          <w:noProof/>
          <w:color w:val="auto"/>
        </w:rPr>
        <w:t>Appendix B: Respondents Questionnaire (Afaan Oromoo Version)</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_Toc204249805 \h </w:instrText>
      </w:r>
      <w:r>
        <w:rPr>
          <w:rFonts w:ascii="Times New Roman" w:cs="Times New Roman" w:hAnsi="Times New Roman"/>
          <w:noProof/>
          <w:webHidden/>
        </w:rPr>
        <w:fldChar w:fldCharType="separate"/>
      </w:r>
      <w:r>
        <w:rPr>
          <w:rFonts w:ascii="Times New Roman" w:cs="Times New Roman" w:hAnsi="Times New Roman"/>
          <w:noProof/>
          <w:webHidden/>
        </w:rPr>
        <w:t>80</w:t>
      </w:r>
      <w:r>
        <w:rPr>
          <w:rFonts w:ascii="Times New Roman" w:cs="Times New Roman" w:hAnsi="Times New Roman"/>
          <w:noProof/>
          <w:webHidden/>
        </w:rPr>
        <w:fldChar w:fldCharType="end"/>
      </w:r>
      <w:r>
        <w:rPr/>
        <w:fldChar w:fldCharType="end"/>
      </w:r>
    </w:p>
    <w:p>
      <w:pPr>
        <w:pStyle w:val="style21"/>
        <w:tabs>
          <w:tab w:val="right" w:leader="dot" w:pos="9350"/>
        </w:tabs>
        <w:rPr>
          <w:rFonts w:ascii="Times New Roman" w:cs="Times New Roman" w:eastAsia="宋体" w:hAnsi="Times New Roman"/>
          <w:noProof/>
        </w:rPr>
      </w:pPr>
      <w:r>
        <w:rPr/>
        <w:fldChar w:fldCharType="begin"/>
      </w:r>
      <w:r>
        <w:instrText xml:space="preserve"> HYPERLINK \l "_Toc204249806" </w:instrText>
      </w:r>
      <w:r>
        <w:rPr/>
        <w:fldChar w:fldCharType="separate"/>
      </w:r>
      <w:r>
        <w:rPr>
          <w:rStyle w:val="style85"/>
          <w:rFonts w:ascii="Times New Roman" w:cs="Times New Roman" w:hAnsi="Times New Roman"/>
          <w:noProof/>
          <w:color w:val="auto"/>
        </w:rPr>
        <w:t>Appendix C: Number of Large Tax Payers in Burayu Sub-City</w:t>
      </w:r>
      <w:r>
        <w:rPr>
          <w:rFonts w:ascii="Times New Roman" w:cs="Times New Roman" w:hAnsi="Times New Roman"/>
          <w:noProof/>
          <w:webHidden/>
        </w:rPr>
        <w:tab/>
      </w:r>
      <w:r>
        <w:rPr>
          <w:rFonts w:ascii="Times New Roman" w:cs="Times New Roman" w:hAnsi="Times New Roman"/>
          <w:noProof/>
          <w:webHidden/>
        </w:rPr>
        <w:fldChar w:fldCharType="begin"/>
      </w:r>
      <w:r>
        <w:rPr>
          <w:rFonts w:ascii="Times New Roman" w:cs="Times New Roman" w:hAnsi="Times New Roman"/>
          <w:noProof/>
          <w:webHidden/>
        </w:rPr>
        <w:instrText xml:space="preserve"> PAGEREF _Toc204249806 \h </w:instrText>
      </w:r>
      <w:r>
        <w:rPr>
          <w:rFonts w:ascii="Times New Roman" w:cs="Times New Roman" w:hAnsi="Times New Roman"/>
          <w:noProof/>
          <w:webHidden/>
        </w:rPr>
        <w:fldChar w:fldCharType="separate"/>
      </w:r>
      <w:r>
        <w:rPr>
          <w:rFonts w:ascii="Times New Roman" w:cs="Times New Roman" w:hAnsi="Times New Roman"/>
          <w:noProof/>
          <w:webHidden/>
        </w:rPr>
        <w:t>91</w:t>
      </w:r>
      <w:r>
        <w:rPr>
          <w:rFonts w:ascii="Times New Roman" w:cs="Times New Roman" w:hAnsi="Times New Roman"/>
          <w:noProof/>
          <w:webHidden/>
        </w:rPr>
        <w:fldChar w:fldCharType="end"/>
      </w:r>
      <w:r>
        <w:rPr/>
        <w:fldChar w:fldCharType="end"/>
      </w:r>
    </w:p>
    <w:p>
      <w:pPr>
        <w:pStyle w:val="style0"/>
        <w:rPr>
          <w:rFonts w:ascii="Times New Roman" w:cs="Times New Roman" w:hAnsi="Times New Roman"/>
        </w:rPr>
      </w:pPr>
      <w:r>
        <w:rPr>
          <w:rFonts w:ascii="Times New Roman" w:cs="Times New Roman" w:hAnsi="Times New Roman"/>
          <w:b/>
          <w:bCs/>
        </w:rPr>
        <w:fldChar w:fldCharType="end"/>
      </w: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bookmarkStart w:id="8" w:name="_GoBack"/>
    <w:bookmarkEnd w:id="8"/>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bookmarkStart w:id="9" w:name="_Toc204249754"/>
    <w:p>
      <w:pPr>
        <w:pStyle w:val="style3"/>
        <w:rPr>
          <w:rFonts w:ascii="Times New Roman" w:cs="Times New Roman" w:hAnsi="Times New Roman"/>
          <w:color w:val="auto"/>
        </w:rPr>
      </w:pPr>
      <w:r>
        <w:rPr>
          <w:rFonts w:ascii="Times New Roman" w:cs="Times New Roman" w:hAnsi="Times New Roman"/>
          <w:color w:val="auto"/>
        </w:rPr>
        <w:t>List Table</w:t>
      </w:r>
      <w:bookmarkEnd w:id="9"/>
    </w:p>
    <w:p>
      <w:pPr>
        <w:pStyle w:val="style35"/>
        <w:tabs>
          <w:tab w:val="right" w:leader="dot" w:pos="9350"/>
        </w:tabs>
        <w:rPr>
          <w:rFonts w:cs="Times New Roman" w:eastAsia="宋体"/>
          <w:noProof/>
          <w:sz w:val="22"/>
        </w:rPr>
      </w:pPr>
      <w:r>
        <w:rPr>
          <w:rFonts w:cs="Times New Roman"/>
          <w:b/>
          <w:szCs w:val="24"/>
        </w:rPr>
        <w:fldChar w:fldCharType="begin"/>
      </w:r>
      <w:r>
        <w:rPr>
          <w:rFonts w:cs="Times New Roman"/>
          <w:b/>
          <w:szCs w:val="24"/>
        </w:rPr>
        <w:instrText xml:space="preserve"> TOC \h \z \c "Table" </w:instrText>
      </w:r>
      <w:r>
        <w:rPr>
          <w:rFonts w:cs="Times New Roman"/>
          <w:b/>
          <w:szCs w:val="24"/>
        </w:rPr>
        <w:fldChar w:fldCharType="separate"/>
      </w:r>
      <w:r>
        <w:rPr/>
        <w:fldChar w:fldCharType="begin"/>
      </w:r>
      <w:r>
        <w:instrText xml:space="preserve"> HYPERLINK \l "_Toc204175441" </w:instrText>
      </w:r>
      <w:r>
        <w:rPr/>
        <w:fldChar w:fldCharType="separate"/>
      </w:r>
      <w:r>
        <w:rPr>
          <w:rStyle w:val="style85"/>
          <w:rFonts w:cs="Times New Roman"/>
          <w:noProof/>
          <w:color w:val="auto"/>
        </w:rPr>
        <w:t>Table 1: Demographic factors</w:t>
      </w:r>
      <w:r>
        <w:rPr>
          <w:rFonts w:cs="Times New Roman"/>
          <w:noProof/>
          <w:webHidden/>
        </w:rPr>
        <w:tab/>
      </w:r>
      <w:r>
        <w:rPr>
          <w:rFonts w:cs="Times New Roman"/>
          <w:noProof/>
          <w:webHidden/>
        </w:rPr>
        <w:fldChar w:fldCharType="begin"/>
      </w:r>
      <w:r>
        <w:rPr>
          <w:rFonts w:cs="Times New Roman"/>
          <w:noProof/>
          <w:webHidden/>
        </w:rPr>
        <w:instrText xml:space="preserve"> PAGEREF _Toc204175441 \h </w:instrText>
      </w:r>
      <w:r>
        <w:rPr>
          <w:rFonts w:cs="Times New Roman"/>
          <w:noProof/>
          <w:webHidden/>
        </w:rPr>
        <w:fldChar w:fldCharType="separate"/>
      </w:r>
      <w:r>
        <w:rPr>
          <w:rFonts w:cs="Times New Roman"/>
          <w:noProof/>
          <w:webHidden/>
        </w:rPr>
        <w:t>43</w:t>
      </w:r>
      <w:r>
        <w:rPr>
          <w:rFonts w:cs="Times New Roman"/>
          <w:noProof/>
          <w:webHidden/>
        </w:rPr>
        <w:fldChar w:fldCharType="end"/>
      </w:r>
      <w:r>
        <w:rPr/>
        <w:fldChar w:fldCharType="end"/>
      </w:r>
    </w:p>
    <w:p>
      <w:pPr>
        <w:pStyle w:val="style35"/>
        <w:tabs>
          <w:tab w:val="right" w:leader="dot" w:pos="9350"/>
        </w:tabs>
        <w:rPr>
          <w:rFonts w:cs="Times New Roman" w:eastAsia="宋体"/>
          <w:noProof/>
          <w:sz w:val="22"/>
        </w:rPr>
      </w:pPr>
      <w:r>
        <w:rPr/>
        <w:fldChar w:fldCharType="begin"/>
      </w:r>
      <w:r>
        <w:instrText xml:space="preserve"> HYPERLINK \l "_Toc204175442" </w:instrText>
      </w:r>
      <w:r>
        <w:rPr/>
        <w:fldChar w:fldCharType="separate"/>
      </w:r>
      <w:r>
        <w:rPr>
          <w:rStyle w:val="style85"/>
          <w:rFonts w:cs="Times New Roman"/>
          <w:noProof/>
          <w:color w:val="auto"/>
        </w:rPr>
        <w:t>Table 2: Gender of Respondent</w:t>
      </w:r>
      <w:r>
        <w:rPr>
          <w:rFonts w:cs="Times New Roman"/>
          <w:noProof/>
          <w:webHidden/>
        </w:rPr>
        <w:tab/>
      </w:r>
      <w:r>
        <w:rPr>
          <w:rFonts w:cs="Times New Roman"/>
          <w:noProof/>
          <w:webHidden/>
        </w:rPr>
        <w:fldChar w:fldCharType="begin"/>
      </w:r>
      <w:r>
        <w:rPr>
          <w:rFonts w:cs="Times New Roman"/>
          <w:noProof/>
          <w:webHidden/>
        </w:rPr>
        <w:instrText xml:space="preserve"> PAGEREF _Toc204175442 \h </w:instrText>
      </w:r>
      <w:r>
        <w:rPr>
          <w:rFonts w:cs="Times New Roman"/>
          <w:noProof/>
          <w:webHidden/>
        </w:rPr>
        <w:fldChar w:fldCharType="separate"/>
      </w:r>
      <w:r>
        <w:rPr>
          <w:rFonts w:cs="Times New Roman"/>
          <w:noProof/>
          <w:webHidden/>
        </w:rPr>
        <w:t>44</w:t>
      </w:r>
      <w:r>
        <w:rPr>
          <w:rFonts w:cs="Times New Roman"/>
          <w:noProof/>
          <w:webHidden/>
        </w:rPr>
        <w:fldChar w:fldCharType="end"/>
      </w:r>
      <w:r>
        <w:rPr/>
        <w:fldChar w:fldCharType="end"/>
      </w:r>
    </w:p>
    <w:p>
      <w:pPr>
        <w:pStyle w:val="style35"/>
        <w:tabs>
          <w:tab w:val="right" w:leader="dot" w:pos="9350"/>
        </w:tabs>
        <w:rPr>
          <w:rFonts w:cs="Times New Roman" w:eastAsia="宋体"/>
          <w:noProof/>
          <w:sz w:val="22"/>
        </w:rPr>
      </w:pPr>
      <w:r>
        <w:rPr/>
        <w:fldChar w:fldCharType="begin"/>
      </w:r>
      <w:r>
        <w:instrText xml:space="preserve"> HYPERLINK \l "_Toc204175443" </w:instrText>
      </w:r>
      <w:r>
        <w:rPr/>
        <w:fldChar w:fldCharType="separate"/>
      </w:r>
      <w:r>
        <w:rPr>
          <w:rStyle w:val="style85"/>
          <w:rFonts w:cs="Times New Roman"/>
          <w:noProof/>
          <w:color w:val="auto"/>
        </w:rPr>
        <w:t>Table 3: Age of Respondent</w:t>
      </w:r>
      <w:r>
        <w:rPr>
          <w:rFonts w:cs="Times New Roman"/>
          <w:noProof/>
          <w:webHidden/>
        </w:rPr>
        <w:tab/>
      </w:r>
      <w:r>
        <w:rPr>
          <w:rFonts w:cs="Times New Roman"/>
          <w:noProof/>
          <w:webHidden/>
        </w:rPr>
        <w:fldChar w:fldCharType="begin"/>
      </w:r>
      <w:r>
        <w:rPr>
          <w:rFonts w:cs="Times New Roman"/>
          <w:noProof/>
          <w:webHidden/>
        </w:rPr>
        <w:instrText xml:space="preserve"> PAGEREF _Toc204175443 \h </w:instrText>
      </w:r>
      <w:r>
        <w:rPr>
          <w:rFonts w:cs="Times New Roman"/>
          <w:noProof/>
          <w:webHidden/>
        </w:rPr>
        <w:fldChar w:fldCharType="separate"/>
      </w:r>
      <w:r>
        <w:rPr>
          <w:rFonts w:cs="Times New Roman"/>
          <w:noProof/>
          <w:webHidden/>
        </w:rPr>
        <w:t>45</w:t>
      </w:r>
      <w:r>
        <w:rPr>
          <w:rFonts w:cs="Times New Roman"/>
          <w:noProof/>
          <w:webHidden/>
        </w:rPr>
        <w:fldChar w:fldCharType="end"/>
      </w:r>
      <w:r>
        <w:rPr/>
        <w:fldChar w:fldCharType="end"/>
      </w:r>
    </w:p>
    <w:p>
      <w:pPr>
        <w:pStyle w:val="style35"/>
        <w:tabs>
          <w:tab w:val="right" w:leader="dot" w:pos="9350"/>
        </w:tabs>
        <w:rPr>
          <w:rFonts w:cs="Times New Roman" w:eastAsia="宋体"/>
          <w:noProof/>
          <w:sz w:val="22"/>
        </w:rPr>
      </w:pPr>
      <w:r>
        <w:rPr/>
        <w:fldChar w:fldCharType="begin"/>
      </w:r>
      <w:r>
        <w:instrText xml:space="preserve"> HYPERLINK \l "_Toc204175444" </w:instrText>
      </w:r>
      <w:r>
        <w:rPr/>
        <w:fldChar w:fldCharType="separate"/>
      </w:r>
      <w:r>
        <w:rPr>
          <w:rStyle w:val="style85"/>
          <w:rFonts w:cs="Times New Roman"/>
          <w:noProof/>
          <w:color w:val="auto"/>
        </w:rPr>
        <w:t>Table 4</w:t>
      </w:r>
      <w:r>
        <w:rPr>
          <w:rStyle w:val="style85"/>
          <w:rFonts w:cs="Times New Roman"/>
          <w:iCs/>
          <w:noProof/>
          <w:color w:val="auto"/>
        </w:rPr>
        <w:t>: Respondent general back ground – educational level</w:t>
      </w:r>
      <w:r>
        <w:rPr>
          <w:rFonts w:cs="Times New Roman"/>
          <w:noProof/>
          <w:webHidden/>
        </w:rPr>
        <w:tab/>
      </w:r>
      <w:r>
        <w:rPr>
          <w:rFonts w:cs="Times New Roman"/>
          <w:noProof/>
          <w:webHidden/>
        </w:rPr>
        <w:fldChar w:fldCharType="begin"/>
      </w:r>
      <w:r>
        <w:rPr>
          <w:rFonts w:cs="Times New Roman"/>
          <w:noProof/>
          <w:webHidden/>
        </w:rPr>
        <w:instrText xml:space="preserve"> PAGEREF _Toc204175444 \h </w:instrText>
      </w:r>
      <w:r>
        <w:rPr>
          <w:rFonts w:cs="Times New Roman"/>
          <w:noProof/>
          <w:webHidden/>
        </w:rPr>
        <w:fldChar w:fldCharType="separate"/>
      </w:r>
      <w:r>
        <w:rPr>
          <w:rFonts w:cs="Times New Roman"/>
          <w:noProof/>
          <w:webHidden/>
        </w:rPr>
        <w:t>46</w:t>
      </w:r>
      <w:r>
        <w:rPr>
          <w:rFonts w:cs="Times New Roman"/>
          <w:noProof/>
          <w:webHidden/>
        </w:rPr>
        <w:fldChar w:fldCharType="end"/>
      </w:r>
      <w:r>
        <w:rPr/>
        <w:fldChar w:fldCharType="end"/>
      </w:r>
    </w:p>
    <w:p>
      <w:pPr>
        <w:pStyle w:val="style35"/>
        <w:tabs>
          <w:tab w:val="right" w:leader="dot" w:pos="9350"/>
        </w:tabs>
        <w:rPr>
          <w:rFonts w:cs="Times New Roman" w:eastAsia="宋体"/>
          <w:noProof/>
          <w:sz w:val="22"/>
        </w:rPr>
      </w:pPr>
      <w:r>
        <w:rPr/>
        <w:fldChar w:fldCharType="begin"/>
      </w:r>
      <w:r>
        <w:instrText xml:space="preserve"> HYPERLINK \l "_Toc204175445" </w:instrText>
      </w:r>
      <w:r>
        <w:rPr/>
        <w:fldChar w:fldCharType="separate"/>
      </w:r>
      <w:r>
        <w:rPr>
          <w:rStyle w:val="style85"/>
          <w:rFonts w:cs="Times New Roman"/>
          <w:noProof/>
          <w:color w:val="auto"/>
        </w:rPr>
        <w:t>Table 5: Respondent General Back Ground Income Level</w:t>
      </w:r>
      <w:r>
        <w:rPr>
          <w:rFonts w:cs="Times New Roman"/>
          <w:noProof/>
          <w:webHidden/>
        </w:rPr>
        <w:tab/>
      </w:r>
      <w:r>
        <w:rPr>
          <w:rFonts w:cs="Times New Roman"/>
          <w:noProof/>
          <w:webHidden/>
        </w:rPr>
        <w:fldChar w:fldCharType="begin"/>
      </w:r>
      <w:r>
        <w:rPr>
          <w:rFonts w:cs="Times New Roman"/>
          <w:noProof/>
          <w:webHidden/>
        </w:rPr>
        <w:instrText xml:space="preserve"> PAGEREF _Toc204175445 \h </w:instrText>
      </w:r>
      <w:r>
        <w:rPr>
          <w:rFonts w:cs="Times New Roman"/>
          <w:noProof/>
          <w:webHidden/>
        </w:rPr>
        <w:fldChar w:fldCharType="separate"/>
      </w:r>
      <w:r>
        <w:rPr>
          <w:rFonts w:cs="Times New Roman"/>
          <w:noProof/>
          <w:webHidden/>
        </w:rPr>
        <w:t>47</w:t>
      </w:r>
      <w:r>
        <w:rPr>
          <w:rFonts w:cs="Times New Roman"/>
          <w:noProof/>
          <w:webHidden/>
        </w:rPr>
        <w:fldChar w:fldCharType="end"/>
      </w:r>
      <w:r>
        <w:rPr/>
        <w:fldChar w:fldCharType="end"/>
      </w:r>
    </w:p>
    <w:p>
      <w:pPr>
        <w:pStyle w:val="style35"/>
        <w:tabs>
          <w:tab w:val="right" w:leader="dot" w:pos="9350"/>
        </w:tabs>
        <w:rPr>
          <w:rFonts w:cs="Times New Roman" w:eastAsia="宋体"/>
          <w:noProof/>
          <w:sz w:val="22"/>
        </w:rPr>
      </w:pPr>
      <w:r>
        <w:rPr/>
        <w:fldChar w:fldCharType="begin"/>
      </w:r>
      <w:r>
        <w:instrText xml:space="preserve"> HYPERLINK \l "_Toc204175446" </w:instrText>
      </w:r>
      <w:r>
        <w:rPr/>
        <w:fldChar w:fldCharType="separate"/>
      </w:r>
      <w:r>
        <w:rPr>
          <w:rStyle w:val="style85"/>
          <w:rFonts w:cs="Times New Roman"/>
          <w:noProof/>
          <w:color w:val="auto"/>
        </w:rPr>
        <w:t>Table 6: How frequently tax payers evade tax</w:t>
      </w:r>
      <w:r>
        <w:rPr>
          <w:rFonts w:cs="Times New Roman"/>
          <w:noProof/>
          <w:webHidden/>
        </w:rPr>
        <w:tab/>
      </w:r>
      <w:r>
        <w:rPr>
          <w:rFonts w:cs="Times New Roman"/>
          <w:noProof/>
          <w:webHidden/>
        </w:rPr>
        <w:fldChar w:fldCharType="begin"/>
      </w:r>
      <w:r>
        <w:rPr>
          <w:rFonts w:cs="Times New Roman"/>
          <w:noProof/>
          <w:webHidden/>
        </w:rPr>
        <w:instrText xml:space="preserve"> PAGEREF _Toc204175446 \h </w:instrText>
      </w:r>
      <w:r>
        <w:rPr>
          <w:rFonts w:cs="Times New Roman"/>
          <w:noProof/>
          <w:webHidden/>
        </w:rPr>
        <w:fldChar w:fldCharType="separate"/>
      </w:r>
      <w:r>
        <w:rPr>
          <w:rFonts w:cs="Times New Roman"/>
          <w:noProof/>
          <w:webHidden/>
        </w:rPr>
        <w:t>49</w:t>
      </w:r>
      <w:r>
        <w:rPr>
          <w:rFonts w:cs="Times New Roman"/>
          <w:noProof/>
          <w:webHidden/>
        </w:rPr>
        <w:fldChar w:fldCharType="end"/>
      </w:r>
      <w:r>
        <w:rPr/>
        <w:fldChar w:fldCharType="end"/>
      </w:r>
    </w:p>
    <w:p>
      <w:pPr>
        <w:pStyle w:val="style35"/>
        <w:tabs>
          <w:tab w:val="right" w:leader="dot" w:pos="9350"/>
        </w:tabs>
        <w:rPr>
          <w:rFonts w:cs="Times New Roman" w:eastAsia="宋体"/>
          <w:noProof/>
          <w:sz w:val="22"/>
        </w:rPr>
      </w:pPr>
      <w:r>
        <w:rPr/>
        <w:fldChar w:fldCharType="begin"/>
      </w:r>
      <w:r>
        <w:instrText xml:space="preserve"> HYPERLINK \l "_Toc204175447" </w:instrText>
      </w:r>
      <w:r>
        <w:rPr/>
        <w:fldChar w:fldCharType="separate"/>
      </w:r>
      <w:r>
        <w:rPr>
          <w:rStyle w:val="style85"/>
          <w:rFonts w:cs="Times New Roman"/>
          <w:noProof/>
          <w:color w:val="auto"/>
        </w:rPr>
        <w:t>Table 7: Do you agree with partial/full evasion?</w:t>
      </w:r>
      <w:r>
        <w:rPr>
          <w:rFonts w:cs="Times New Roman"/>
          <w:noProof/>
          <w:webHidden/>
        </w:rPr>
        <w:tab/>
      </w:r>
      <w:r>
        <w:rPr>
          <w:rFonts w:cs="Times New Roman"/>
          <w:noProof/>
          <w:webHidden/>
        </w:rPr>
        <w:fldChar w:fldCharType="begin"/>
      </w:r>
      <w:r>
        <w:rPr>
          <w:rFonts w:cs="Times New Roman"/>
          <w:noProof/>
          <w:webHidden/>
        </w:rPr>
        <w:instrText xml:space="preserve"> PAGEREF _Toc204175447 \h </w:instrText>
      </w:r>
      <w:r>
        <w:rPr>
          <w:rFonts w:cs="Times New Roman"/>
          <w:noProof/>
          <w:webHidden/>
        </w:rPr>
        <w:fldChar w:fldCharType="separate"/>
      </w:r>
      <w:r>
        <w:rPr>
          <w:rFonts w:cs="Times New Roman"/>
          <w:noProof/>
          <w:webHidden/>
        </w:rPr>
        <w:t>50</w:t>
      </w:r>
      <w:r>
        <w:rPr>
          <w:rFonts w:cs="Times New Roman"/>
          <w:noProof/>
          <w:webHidden/>
        </w:rPr>
        <w:fldChar w:fldCharType="end"/>
      </w:r>
      <w:r>
        <w:rPr/>
        <w:fldChar w:fldCharType="end"/>
      </w:r>
    </w:p>
    <w:p>
      <w:pPr>
        <w:pStyle w:val="style35"/>
        <w:tabs>
          <w:tab w:val="right" w:leader="dot" w:pos="9350"/>
        </w:tabs>
        <w:rPr>
          <w:rFonts w:cs="Times New Roman" w:eastAsia="宋体"/>
          <w:noProof/>
          <w:sz w:val="22"/>
        </w:rPr>
      </w:pPr>
      <w:r>
        <w:rPr/>
        <w:fldChar w:fldCharType="begin"/>
      </w:r>
      <w:r>
        <w:instrText xml:space="preserve"> HYPERLINK \l "_Toc204175448" </w:instrText>
      </w:r>
      <w:r>
        <w:rPr/>
        <w:fldChar w:fldCharType="separate"/>
      </w:r>
      <w:r>
        <w:rPr>
          <w:rStyle w:val="style85"/>
          <w:rFonts w:cs="Times New Roman"/>
          <w:noProof/>
          <w:color w:val="auto"/>
        </w:rPr>
        <w:t>Table 8: Descriptive statistics of economic, social and individual factors</w:t>
      </w:r>
      <w:r>
        <w:rPr>
          <w:rFonts w:cs="Times New Roman"/>
          <w:noProof/>
          <w:webHidden/>
        </w:rPr>
        <w:tab/>
      </w:r>
      <w:r>
        <w:rPr>
          <w:rFonts w:cs="Times New Roman"/>
          <w:noProof/>
          <w:webHidden/>
        </w:rPr>
        <w:fldChar w:fldCharType="begin"/>
      </w:r>
      <w:r>
        <w:rPr>
          <w:rFonts w:cs="Times New Roman"/>
          <w:noProof/>
          <w:webHidden/>
        </w:rPr>
        <w:instrText xml:space="preserve"> PAGEREF _Toc204175448 \h </w:instrText>
      </w:r>
      <w:r>
        <w:rPr>
          <w:rFonts w:cs="Times New Roman"/>
          <w:noProof/>
          <w:webHidden/>
        </w:rPr>
        <w:fldChar w:fldCharType="separate"/>
      </w:r>
      <w:r>
        <w:rPr>
          <w:rFonts w:cs="Times New Roman"/>
          <w:noProof/>
          <w:webHidden/>
        </w:rPr>
        <w:t>53</w:t>
      </w:r>
      <w:r>
        <w:rPr>
          <w:rFonts w:cs="Times New Roman"/>
          <w:noProof/>
          <w:webHidden/>
        </w:rPr>
        <w:fldChar w:fldCharType="end"/>
      </w:r>
      <w:r>
        <w:rPr/>
        <w:fldChar w:fldCharType="end"/>
      </w:r>
    </w:p>
    <w:p>
      <w:pPr>
        <w:pStyle w:val="style35"/>
        <w:tabs>
          <w:tab w:val="right" w:leader="dot" w:pos="9350"/>
        </w:tabs>
        <w:rPr>
          <w:rFonts w:cs="Times New Roman" w:eastAsia="宋体"/>
          <w:noProof/>
          <w:sz w:val="22"/>
        </w:rPr>
      </w:pPr>
      <w:r>
        <w:rPr/>
        <w:fldChar w:fldCharType="begin"/>
      </w:r>
      <w:r>
        <w:instrText xml:space="preserve"> HYPERLINK \l "_Toc204175449" </w:instrText>
      </w:r>
      <w:r>
        <w:rPr/>
        <w:fldChar w:fldCharType="separate"/>
      </w:r>
      <w:r>
        <w:rPr>
          <w:rStyle w:val="style85"/>
          <w:rFonts w:cs="Times New Roman"/>
          <w:noProof/>
          <w:color w:val="auto"/>
        </w:rPr>
        <w:t xml:space="preserve">Table 9: </w:t>
      </w:r>
      <w:r>
        <w:rPr>
          <w:rStyle w:val="style85"/>
          <w:rFonts w:cs="Times New Roman"/>
          <w:iCs/>
          <w:noProof/>
          <w:color w:val="auto"/>
        </w:rPr>
        <w:t>Determinants of tax compliance   ordered probit regression result</w:t>
      </w:r>
      <w:r>
        <w:rPr>
          <w:rFonts w:cs="Times New Roman"/>
          <w:noProof/>
          <w:webHidden/>
        </w:rPr>
        <w:tab/>
      </w:r>
      <w:r>
        <w:rPr>
          <w:rFonts w:cs="Times New Roman"/>
          <w:noProof/>
          <w:webHidden/>
        </w:rPr>
        <w:fldChar w:fldCharType="begin"/>
      </w:r>
      <w:r>
        <w:rPr>
          <w:rFonts w:cs="Times New Roman"/>
          <w:noProof/>
          <w:webHidden/>
        </w:rPr>
        <w:instrText xml:space="preserve"> PAGEREF _Toc204175449 \h </w:instrText>
      </w:r>
      <w:r>
        <w:rPr>
          <w:rFonts w:cs="Times New Roman"/>
          <w:noProof/>
          <w:webHidden/>
        </w:rPr>
        <w:fldChar w:fldCharType="separate"/>
      </w:r>
      <w:r>
        <w:rPr>
          <w:rFonts w:cs="Times New Roman"/>
          <w:noProof/>
          <w:webHidden/>
        </w:rPr>
        <w:t>56</w:t>
      </w:r>
      <w:r>
        <w:rPr>
          <w:rFonts w:cs="Times New Roman"/>
          <w:noProof/>
          <w:webHidden/>
        </w:rPr>
        <w:fldChar w:fldCharType="end"/>
      </w:r>
      <w:r>
        <w:rPr/>
        <w:fldChar w:fldCharType="end"/>
      </w:r>
    </w:p>
    <w:p>
      <w:pPr>
        <w:pStyle w:val="style0"/>
        <w:rPr>
          <w:rFonts w:ascii="Times New Roman" w:cs="Times New Roman" w:eastAsia="Cambria" w:hAnsi="Times New Roman"/>
          <w:b/>
          <w:sz w:val="28"/>
        </w:rPr>
      </w:pPr>
      <w:r>
        <w:rPr>
          <w:rFonts w:ascii="Times New Roman" w:cs="Times New Roman" w:hAnsi="Times New Roman"/>
          <w:b/>
          <w:szCs w:val="24"/>
        </w:rPr>
        <w:fldChar w:fldCharType="end"/>
      </w: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bookmarkStart w:id="10" w:name="_Toc204249755"/>
    <w:p>
      <w:pPr>
        <w:pStyle w:val="style3"/>
        <w:rPr>
          <w:rFonts w:ascii="Times New Roman" w:cs="Times New Roman" w:hAnsi="Times New Roman"/>
          <w:color w:val="auto"/>
          <w:sz w:val="24"/>
        </w:rPr>
      </w:pPr>
      <w:r>
        <w:rPr>
          <w:rFonts w:ascii="Times New Roman" w:cs="Times New Roman" w:hAnsi="Times New Roman"/>
          <w:color w:val="auto"/>
          <w:sz w:val="24"/>
        </w:rPr>
        <w:t>List Figure</w:t>
      </w:r>
      <w:bookmarkEnd w:id="10"/>
    </w:p>
    <w:p>
      <w:pPr>
        <w:pStyle w:val="style35"/>
        <w:tabs>
          <w:tab w:val="right" w:leader="dot" w:pos="9350"/>
        </w:tabs>
        <w:rPr>
          <w:rFonts w:cs="Times New Roman" w:eastAsia="宋体"/>
          <w:noProof/>
          <w:sz w:val="22"/>
        </w:rPr>
      </w:pPr>
      <w:r>
        <w:rPr>
          <w:rFonts w:cs="Times New Roman" w:eastAsia="Cambria"/>
          <w:b/>
          <w:sz w:val="28"/>
        </w:rPr>
        <w:fldChar w:fldCharType="begin"/>
      </w:r>
      <w:r>
        <w:rPr>
          <w:rFonts w:cs="Times New Roman" w:eastAsia="Cambria"/>
          <w:b/>
          <w:sz w:val="28"/>
        </w:rPr>
        <w:instrText xml:space="preserve"> TOC \h \z \c "Figure" </w:instrText>
      </w:r>
      <w:r>
        <w:rPr>
          <w:rFonts w:cs="Times New Roman" w:eastAsia="Cambria"/>
          <w:b/>
          <w:sz w:val="28"/>
        </w:rPr>
        <w:fldChar w:fldCharType="separate"/>
      </w:r>
      <w:r>
        <w:rPr/>
        <w:fldChar w:fldCharType="begin"/>
      </w:r>
      <w:r>
        <w:instrText xml:space="preserve"> HYPERLINK \l "_Toc204243681" </w:instrText>
      </w:r>
      <w:r>
        <w:rPr/>
        <w:fldChar w:fldCharType="separate"/>
      </w:r>
      <w:r>
        <w:rPr>
          <w:rStyle w:val="style85"/>
          <w:rFonts w:cs="Times New Roman"/>
          <w:noProof/>
          <w:color w:val="auto"/>
        </w:rPr>
        <w:t>Figure 1: Respondent general back ground –gender</w:t>
      </w:r>
      <w:r>
        <w:rPr>
          <w:rFonts w:cs="Times New Roman"/>
          <w:noProof/>
          <w:webHidden/>
        </w:rPr>
        <w:tab/>
      </w:r>
      <w:r>
        <w:rPr>
          <w:rFonts w:cs="Times New Roman"/>
          <w:noProof/>
          <w:webHidden/>
        </w:rPr>
        <w:fldChar w:fldCharType="begin"/>
      </w:r>
      <w:r>
        <w:rPr>
          <w:rFonts w:cs="Times New Roman"/>
          <w:noProof/>
          <w:webHidden/>
        </w:rPr>
        <w:instrText xml:space="preserve"> PAGEREF _Toc204243681 \h </w:instrText>
      </w:r>
      <w:r>
        <w:rPr>
          <w:rFonts w:cs="Times New Roman"/>
          <w:noProof/>
          <w:webHidden/>
        </w:rPr>
        <w:fldChar w:fldCharType="separate"/>
      </w:r>
      <w:r>
        <w:rPr>
          <w:rFonts w:cs="Times New Roman"/>
          <w:noProof/>
          <w:webHidden/>
        </w:rPr>
        <w:t>44</w:t>
      </w:r>
      <w:r>
        <w:rPr>
          <w:rFonts w:cs="Times New Roman"/>
          <w:noProof/>
          <w:webHidden/>
        </w:rPr>
        <w:fldChar w:fldCharType="end"/>
      </w:r>
      <w:r>
        <w:rPr/>
        <w:fldChar w:fldCharType="end"/>
      </w:r>
    </w:p>
    <w:p>
      <w:pPr>
        <w:pStyle w:val="style35"/>
        <w:tabs>
          <w:tab w:val="right" w:leader="dot" w:pos="9350"/>
        </w:tabs>
        <w:rPr>
          <w:rFonts w:cs="Times New Roman" w:eastAsia="宋体"/>
          <w:noProof/>
          <w:sz w:val="22"/>
        </w:rPr>
      </w:pPr>
      <w:r>
        <w:rPr/>
        <w:fldChar w:fldCharType="begin"/>
      </w:r>
      <w:r>
        <w:instrText xml:space="preserve"> HYPERLINK \l "_Toc204243682" </w:instrText>
      </w:r>
      <w:r>
        <w:rPr/>
        <w:fldChar w:fldCharType="separate"/>
      </w:r>
      <w:r>
        <w:rPr>
          <w:rStyle w:val="style85"/>
          <w:rFonts w:cs="Times New Roman"/>
          <w:noProof/>
          <w:color w:val="auto"/>
        </w:rPr>
        <w:t>Figure 2: Respondent general back ground – age</w:t>
      </w:r>
      <w:r>
        <w:rPr>
          <w:rFonts w:cs="Times New Roman"/>
          <w:noProof/>
          <w:webHidden/>
        </w:rPr>
        <w:tab/>
      </w:r>
      <w:r>
        <w:rPr>
          <w:rFonts w:cs="Times New Roman"/>
          <w:noProof/>
          <w:webHidden/>
        </w:rPr>
        <w:fldChar w:fldCharType="begin"/>
      </w:r>
      <w:r>
        <w:rPr>
          <w:rFonts w:cs="Times New Roman"/>
          <w:noProof/>
          <w:webHidden/>
        </w:rPr>
        <w:instrText xml:space="preserve"> PAGEREF _Toc204243682 \h </w:instrText>
      </w:r>
      <w:r>
        <w:rPr>
          <w:rFonts w:cs="Times New Roman"/>
          <w:noProof/>
          <w:webHidden/>
        </w:rPr>
        <w:fldChar w:fldCharType="separate"/>
      </w:r>
      <w:r>
        <w:rPr>
          <w:rFonts w:cs="Times New Roman"/>
          <w:noProof/>
          <w:webHidden/>
        </w:rPr>
        <w:t>45</w:t>
      </w:r>
      <w:r>
        <w:rPr>
          <w:rFonts w:cs="Times New Roman"/>
          <w:noProof/>
          <w:webHidden/>
        </w:rPr>
        <w:fldChar w:fldCharType="end"/>
      </w:r>
      <w:r>
        <w:rPr/>
        <w:fldChar w:fldCharType="end"/>
      </w:r>
    </w:p>
    <w:p>
      <w:pPr>
        <w:pStyle w:val="style35"/>
        <w:tabs>
          <w:tab w:val="right" w:leader="dot" w:pos="9350"/>
        </w:tabs>
        <w:rPr>
          <w:rFonts w:cs="Times New Roman" w:eastAsia="宋体"/>
          <w:noProof/>
          <w:sz w:val="22"/>
        </w:rPr>
      </w:pPr>
      <w:r>
        <w:rPr/>
        <w:fldChar w:fldCharType="begin"/>
      </w:r>
      <w:r>
        <w:instrText xml:space="preserve"> HYPERLINK \l "_Toc204243683" </w:instrText>
      </w:r>
      <w:r>
        <w:rPr/>
        <w:fldChar w:fldCharType="separate"/>
      </w:r>
      <w:r>
        <w:rPr>
          <w:rStyle w:val="style85"/>
          <w:rFonts w:cs="Times New Roman"/>
          <w:noProof/>
          <w:color w:val="auto"/>
        </w:rPr>
        <w:t xml:space="preserve">Figure 3: </w:t>
      </w:r>
      <w:r>
        <w:rPr>
          <w:rStyle w:val="style85"/>
          <w:rFonts w:cs="Times New Roman"/>
          <w:iCs/>
          <w:noProof/>
          <w:color w:val="auto"/>
        </w:rPr>
        <w:t>Respondent general back ground – educational level</w:t>
      </w:r>
      <w:r>
        <w:rPr>
          <w:rFonts w:cs="Times New Roman"/>
          <w:noProof/>
          <w:webHidden/>
        </w:rPr>
        <w:tab/>
      </w:r>
      <w:r>
        <w:rPr>
          <w:rFonts w:cs="Times New Roman"/>
          <w:noProof/>
          <w:webHidden/>
        </w:rPr>
        <w:fldChar w:fldCharType="begin"/>
      </w:r>
      <w:r>
        <w:rPr>
          <w:rFonts w:cs="Times New Roman"/>
          <w:noProof/>
          <w:webHidden/>
        </w:rPr>
        <w:instrText xml:space="preserve"> PAGEREF _Toc204243683 \h </w:instrText>
      </w:r>
      <w:r>
        <w:rPr>
          <w:rFonts w:cs="Times New Roman"/>
          <w:noProof/>
          <w:webHidden/>
        </w:rPr>
        <w:fldChar w:fldCharType="separate"/>
      </w:r>
      <w:r>
        <w:rPr>
          <w:rFonts w:cs="Times New Roman"/>
          <w:noProof/>
          <w:webHidden/>
        </w:rPr>
        <w:t>46</w:t>
      </w:r>
      <w:r>
        <w:rPr>
          <w:rFonts w:cs="Times New Roman"/>
          <w:noProof/>
          <w:webHidden/>
        </w:rPr>
        <w:fldChar w:fldCharType="end"/>
      </w:r>
      <w:r>
        <w:rPr/>
        <w:fldChar w:fldCharType="end"/>
      </w:r>
    </w:p>
    <w:p>
      <w:pPr>
        <w:pStyle w:val="style35"/>
        <w:tabs>
          <w:tab w:val="right" w:leader="dot" w:pos="9350"/>
        </w:tabs>
        <w:rPr>
          <w:rFonts w:cs="Times New Roman" w:eastAsia="宋体"/>
          <w:noProof/>
          <w:sz w:val="22"/>
        </w:rPr>
      </w:pPr>
      <w:r>
        <w:rPr/>
        <w:fldChar w:fldCharType="begin"/>
      </w:r>
      <w:r>
        <w:instrText xml:space="preserve"> HYPERLINK \l "_Toc204243684" </w:instrText>
      </w:r>
      <w:r>
        <w:rPr/>
        <w:fldChar w:fldCharType="separate"/>
      </w:r>
      <w:r>
        <w:rPr>
          <w:rStyle w:val="style85"/>
          <w:rFonts w:cs="Times New Roman"/>
          <w:noProof/>
          <w:color w:val="auto"/>
        </w:rPr>
        <w:t>Figure 4: Respondent General Back Ground Income Level</w:t>
      </w:r>
      <w:r>
        <w:rPr>
          <w:rFonts w:cs="Times New Roman"/>
          <w:noProof/>
          <w:webHidden/>
        </w:rPr>
        <w:tab/>
      </w:r>
      <w:r>
        <w:rPr>
          <w:rFonts w:cs="Times New Roman"/>
          <w:noProof/>
          <w:webHidden/>
        </w:rPr>
        <w:fldChar w:fldCharType="begin"/>
      </w:r>
      <w:r>
        <w:rPr>
          <w:rFonts w:cs="Times New Roman"/>
          <w:noProof/>
          <w:webHidden/>
        </w:rPr>
        <w:instrText xml:space="preserve"> PAGEREF _Toc204243684 \h </w:instrText>
      </w:r>
      <w:r>
        <w:rPr>
          <w:rFonts w:cs="Times New Roman"/>
          <w:noProof/>
          <w:webHidden/>
        </w:rPr>
        <w:fldChar w:fldCharType="separate"/>
      </w:r>
      <w:r>
        <w:rPr>
          <w:rFonts w:cs="Times New Roman"/>
          <w:noProof/>
          <w:webHidden/>
        </w:rPr>
        <w:t>47</w:t>
      </w:r>
      <w:r>
        <w:rPr>
          <w:rFonts w:cs="Times New Roman"/>
          <w:noProof/>
          <w:webHidden/>
        </w:rPr>
        <w:fldChar w:fldCharType="end"/>
      </w:r>
      <w:r>
        <w:rPr/>
        <w:fldChar w:fldCharType="end"/>
      </w:r>
    </w:p>
    <w:p>
      <w:pPr>
        <w:pStyle w:val="style35"/>
        <w:tabs>
          <w:tab w:val="right" w:leader="dot" w:pos="9350"/>
        </w:tabs>
        <w:rPr>
          <w:rFonts w:cs="Times New Roman" w:eastAsia="宋体"/>
          <w:noProof/>
          <w:sz w:val="22"/>
        </w:rPr>
      </w:pPr>
      <w:r>
        <w:rPr/>
        <w:fldChar w:fldCharType="begin"/>
      </w:r>
      <w:r>
        <w:instrText xml:space="preserve"> HYPERLINK \l "_Toc204243685" </w:instrText>
      </w:r>
      <w:r>
        <w:rPr/>
        <w:fldChar w:fldCharType="separate"/>
      </w:r>
      <w:r>
        <w:rPr>
          <w:rStyle w:val="style85"/>
          <w:rFonts w:cs="Times New Roman"/>
          <w:noProof/>
          <w:color w:val="auto"/>
        </w:rPr>
        <w:t>Figure 5: Tax compliance attitude</w:t>
      </w:r>
      <w:r>
        <w:rPr>
          <w:rFonts w:cs="Times New Roman"/>
          <w:noProof/>
          <w:webHidden/>
        </w:rPr>
        <w:tab/>
      </w:r>
      <w:r>
        <w:rPr>
          <w:rFonts w:cs="Times New Roman"/>
          <w:noProof/>
          <w:webHidden/>
        </w:rPr>
        <w:fldChar w:fldCharType="begin"/>
      </w:r>
      <w:r>
        <w:rPr>
          <w:rFonts w:cs="Times New Roman"/>
          <w:noProof/>
          <w:webHidden/>
        </w:rPr>
        <w:instrText xml:space="preserve"> PAGEREF _Toc204243685 \h </w:instrText>
      </w:r>
      <w:r>
        <w:rPr>
          <w:rFonts w:cs="Times New Roman"/>
          <w:noProof/>
          <w:webHidden/>
        </w:rPr>
        <w:fldChar w:fldCharType="separate"/>
      </w:r>
      <w:r>
        <w:rPr>
          <w:rFonts w:cs="Times New Roman"/>
          <w:noProof/>
          <w:webHidden/>
        </w:rPr>
        <w:t>49</w:t>
      </w:r>
      <w:r>
        <w:rPr>
          <w:rFonts w:cs="Times New Roman"/>
          <w:noProof/>
          <w:webHidden/>
        </w:rPr>
        <w:fldChar w:fldCharType="end"/>
      </w:r>
      <w:r>
        <w:rPr/>
        <w:fldChar w:fldCharType="end"/>
      </w:r>
    </w:p>
    <w:p>
      <w:pPr>
        <w:pStyle w:val="style35"/>
        <w:tabs>
          <w:tab w:val="right" w:leader="dot" w:pos="9350"/>
        </w:tabs>
        <w:rPr>
          <w:rFonts w:cs="Times New Roman" w:eastAsia="宋体"/>
          <w:noProof/>
          <w:sz w:val="22"/>
        </w:rPr>
      </w:pPr>
      <w:r>
        <w:rPr/>
        <w:fldChar w:fldCharType="begin"/>
      </w:r>
      <w:r>
        <w:instrText xml:space="preserve"> HYPERLINK \l "_Toc204243686" </w:instrText>
      </w:r>
      <w:r>
        <w:rPr/>
        <w:fldChar w:fldCharType="separate"/>
      </w:r>
      <w:r>
        <w:rPr>
          <w:rStyle w:val="style85"/>
          <w:rFonts w:cs="Times New Roman"/>
          <w:noProof/>
          <w:color w:val="auto"/>
        </w:rPr>
        <w:t>Figure 6: Noncompliance attitude</w:t>
      </w:r>
      <w:r>
        <w:rPr>
          <w:rFonts w:cs="Times New Roman"/>
          <w:noProof/>
          <w:webHidden/>
        </w:rPr>
        <w:tab/>
      </w:r>
      <w:r>
        <w:rPr>
          <w:rFonts w:cs="Times New Roman"/>
          <w:noProof/>
          <w:webHidden/>
        </w:rPr>
        <w:fldChar w:fldCharType="begin"/>
      </w:r>
      <w:r>
        <w:rPr>
          <w:rFonts w:cs="Times New Roman"/>
          <w:noProof/>
          <w:webHidden/>
        </w:rPr>
        <w:instrText xml:space="preserve"> PAGEREF _Toc204243686 \h </w:instrText>
      </w:r>
      <w:r>
        <w:rPr>
          <w:rFonts w:cs="Times New Roman"/>
          <w:noProof/>
          <w:webHidden/>
        </w:rPr>
        <w:fldChar w:fldCharType="separate"/>
      </w:r>
      <w:r>
        <w:rPr>
          <w:rFonts w:cs="Times New Roman"/>
          <w:noProof/>
          <w:webHidden/>
        </w:rPr>
        <w:t>50</w:t>
      </w:r>
      <w:r>
        <w:rPr>
          <w:rFonts w:cs="Times New Roman"/>
          <w:noProof/>
          <w:webHidden/>
        </w:rPr>
        <w:fldChar w:fldCharType="end"/>
      </w:r>
      <w:r>
        <w:rPr/>
        <w:fldChar w:fldCharType="end"/>
      </w:r>
    </w:p>
    <w:p>
      <w:pPr>
        <w:pStyle w:val="style0"/>
        <w:rPr>
          <w:rFonts w:ascii="Times New Roman" w:cs="Times New Roman" w:eastAsia="Cambria" w:hAnsi="Times New Roman"/>
          <w:b/>
          <w:sz w:val="28"/>
        </w:rPr>
      </w:pPr>
      <w:r>
        <w:rPr>
          <w:rFonts w:ascii="Times New Roman" w:cs="Times New Roman" w:eastAsia="Cambria" w:hAnsi="Times New Roman"/>
          <w:b/>
          <w:sz w:val="28"/>
        </w:rPr>
        <w:fldChar w:fldCharType="end"/>
      </w: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p>
      <w:pPr>
        <w:pStyle w:val="style0"/>
        <w:rPr>
          <w:rFonts w:ascii="Times New Roman" w:cs="Times New Roman" w:eastAsia="Cambria" w:hAnsi="Times New Roman"/>
          <w:b/>
          <w:sz w:val="28"/>
        </w:rPr>
      </w:pPr>
    </w:p>
    <w:bookmarkStart w:id="11" w:name="_Toc204249756"/>
    <w:p>
      <w:pPr>
        <w:pStyle w:val="style1"/>
        <w:jc w:val="center"/>
        <w:rPr>
          <w:rFonts w:ascii="Times New Roman" w:cs="Times New Roman" w:hAnsi="Times New Roman"/>
          <w:color w:val="auto"/>
        </w:rPr>
      </w:pPr>
      <w:r>
        <w:rPr>
          <w:rFonts w:ascii="Times New Roman" w:cs="Times New Roman" w:hAnsi="Times New Roman"/>
          <w:color w:val="auto"/>
        </w:rPr>
        <w:t>Abstract</w:t>
      </w:r>
      <w:bookmarkEnd w:id="11"/>
    </w:p>
    <w:p>
      <w:pPr>
        <w:pStyle w:val="style94"/>
        <w:spacing w:lineRule="auto" w:line="360"/>
        <w:jc w:val="both"/>
        <w:rPr>
          <w:i/>
        </w:rPr>
      </w:pPr>
      <w:r>
        <w:rPr>
          <w:i/>
        </w:rPr>
        <w:t>This study investigates the determinants of voluntary tax compliance among Category A taxpayers in Burayu City, employing both descriptive and inferential statistical analyses. A total of 225 individuals participated in the study, yielding a response rate of 80%. The research identifies key factors influencing tax compliance, including education, tax audits, government spending, referral groups, financial constraints, awareness of penalties, and tax knowledge. Findings reveal that higher educational attainment and awareness of penalties positively correlate with tax compliance rates. Conversely, financial constraints negatively impact compliance, as individuals facing economic hardships prioritize immediate financial obligations over tax payments. The study highlights the importance of taxpayers' perceptions of government effectiveness and fairness in spending as critical elements shaping compliance behaviour. The results suggest a significant proportion of respondent’s exhibit non-compliance, necessitating governmental action to address factors affecting tax revenue. Recommendations include enhancing tax education, increasing the visibility of tax audits, improving transparency in government spending, and supporting financially strained taxpayers. By fostering a culture of compliance through community engagement and clear communication of penalties, this study aims to contribute to improved tax compliance rates in Burayu City. Future research directions are proposed to further explore the dynamics of tax compliance behaviour.</w:t>
      </w:r>
    </w:p>
    <w:p>
      <w:pPr>
        <w:pStyle w:val="style94"/>
        <w:spacing w:lineRule="auto" w:line="360"/>
        <w:jc w:val="both"/>
        <w:rPr/>
      </w:pPr>
      <w:r>
        <w:rPr>
          <w:rFonts w:eastAsia="Calibri"/>
          <w:b/>
        </w:rPr>
        <w:t>Key Words:</w:t>
      </w:r>
      <w:r>
        <w:rPr>
          <w:rFonts w:eastAsia="Calibri"/>
        </w:rPr>
        <w:t xml:space="preserve"> </w:t>
      </w:r>
      <w:r>
        <w:t>Voluntary Tax Compliance, Category A Taxpayers, Tax Compliance Determinants, and Personal Financial Constraints</w:t>
      </w:r>
    </w:p>
    <w:p>
      <w:pPr>
        <w:pStyle w:val="style0"/>
        <w:spacing w:lineRule="auto" w:line="360"/>
        <w:rPr>
          <w:rFonts w:ascii="Times New Roman" w:cs="Times New Roman" w:hAnsi="Times New Roman"/>
          <w:b/>
          <w:sz w:val="24"/>
          <w:szCs w:val="24"/>
        </w:rPr>
        <w:sectPr>
          <w:footerReference w:type="default" r:id="rId6"/>
          <w:pgSz w:w="12240" w:h="15840" w:orient="portrait"/>
          <w:pgMar w:top="1440" w:right="1440" w:bottom="1440" w:left="1440" w:header="720" w:footer="720" w:gutter="0"/>
          <w:pgNumType w:fmt="lowerRoman" w:start="1" w:chapStyle="1"/>
          <w:cols w:space="720"/>
          <w:docGrid w:linePitch="360"/>
        </w:sectPr>
      </w:pPr>
    </w:p>
    <w:bookmarkStart w:id="12" w:name="_Toc130756426"/>
    <w:bookmarkStart w:id="13" w:name="_Toc204249757"/>
    <w:p>
      <w:pPr>
        <w:pStyle w:val="style1"/>
        <w:spacing w:lineRule="auto" w:line="360"/>
        <w:jc w:val="center"/>
        <w:rPr>
          <w:rFonts w:ascii="Times New Roman" w:cs="Times New Roman" w:hAnsi="Times New Roman"/>
          <w:color w:val="auto"/>
        </w:rPr>
      </w:pPr>
      <w:r>
        <w:rPr>
          <w:rFonts w:ascii="Times New Roman" w:cs="Times New Roman" w:hAnsi="Times New Roman"/>
          <w:color w:val="auto"/>
        </w:rPr>
        <w:t>CHAPTER ONE</w:t>
      </w:r>
      <w:bookmarkEnd w:id="12"/>
      <w:bookmarkEnd w:id="13"/>
    </w:p>
    <w:bookmarkStart w:id="14" w:name="_Toc130756427"/>
    <w:bookmarkStart w:id="15" w:name="_Toc204249758"/>
    <w:p>
      <w:pPr>
        <w:pStyle w:val="style2"/>
        <w:spacing w:lineRule="auto" w:line="360"/>
        <w:rPr>
          <w:sz w:val="28"/>
          <w:szCs w:val="24"/>
        </w:rPr>
      </w:pPr>
      <w:r>
        <w:rPr>
          <w:sz w:val="28"/>
          <w:szCs w:val="24"/>
        </w:rPr>
        <w:t>1. INTRODUCTION</w:t>
      </w:r>
      <w:bookmarkEnd w:id="14"/>
      <w:bookmarkEnd w:id="15"/>
    </w:p>
    <w:bookmarkStart w:id="16" w:name="_Toc203285058"/>
    <w:bookmarkStart w:id="17" w:name="_Toc204249759"/>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This chapter provides a brief introduction to the general background of the study, including the statement of the problem, the major research questions that guide the study, and the general and specific objectives. Additionally, it discusses the significance of the study, the scope, and the limitations. Each of these elements will be addressed in turn.</w:t>
      </w:r>
    </w:p>
    <w:p>
      <w:pPr>
        <w:pStyle w:val="style3"/>
        <w:rPr>
          <w:rFonts w:ascii="Times New Roman" w:cs="Times New Roman" w:hAnsi="Times New Roman"/>
          <w:color w:val="auto"/>
        </w:rPr>
      </w:pPr>
      <w:r>
        <w:rPr>
          <w:rFonts w:ascii="Times New Roman" w:cs="Times New Roman" w:hAnsi="Times New Roman"/>
          <w:color w:val="auto"/>
        </w:rPr>
        <w:t>1.1. Background of the Study</w:t>
      </w:r>
      <w:bookmarkEnd w:id="16"/>
      <w:bookmarkEnd w:id="17"/>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This research has conducted its investigation on tax-payers ‘voluntary tax compliance of category A tax payers: evidence from burayu City focus. Taxes are essential to the survival of governments because tax revenues help pay form of the services provided by the state, including education, social security, public safety, infrastructure, and other basic government services (Tilahunand Yidersal, 2014). These public expenditures are on public goods and services that are critical to the development and well-being of society (Asamnew, 2011).</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Without raising the present tax burden on taxpayers who comply, improving the tax law enhances the income available to support government services (Bird, 1998).As a result, tax compliance has grown in importance as a research are a in both developed and developing nations (Tilahun and Yidersal, 2014). Every nation has a different strategy for controlling the degree of tax compliance, and as every nation has a varied set of tax rules and regulations, it appears that different nations have different elements influencing tax compliance (Palil, 2010).According to Bhatia (2003), a tax is an obligatory payment made by an economic entity to the government without the expectation of receiving a direct and equal compensation (quidproquo) from the government. To function as a government and fulfill the duties that the people expect of it, the government needs financial resources. Therefore, the government must first take away what it offers. Due to the limited amount of economic resources accessible to society, arise in  governmentspendingtypicallyresultsinadecreaseinprivatespending.According to James (2000), one way to move resources from the private to the public sector is through taxation. Auld and Miller (1984), among other authors, discuss the function of taxes as a tool.</w:t>
      </w: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As mentioned in Misrak (2008), Ethiopia's tax history is linked to its governmental institutions. However, there are very few trustworthy written records that support the idea those taxes preceded governments in the country or that taxation began at a specific time. Various accounts and pieces of evidence indicate that Ethiopian taxes were first imposed in the fifteenth century by Emperor Zeria-Yakob. Ethiopian governments that have held power at various points in time have regularly amended and removed the statutory foundations for a variety of tax kinds, including those pertaining to tax bases, tax rates, payment terms and modes, exemptions, and offenses. Nevertheless, no materials or document that gathers tax proclamations made at various times has been created.</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 initial statutory bases for all the tax proclamations was the 1931 constitution of Ethiopia which later revised and become Revised Constitution of Ethiopia. Because most of the products on which tax was levied (tax bases) were agricultural products, the type of taxation in traditional periods was unstructured and mostly in kind. Taxation in that period was varying highly from area to area and was often arbitrary, i.e. the amount to pay and the mode of payment depended on the will of the chief tax collector and the kind of resources available in the area.</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According to the Constitution of Federal Democratic Republic of Ethiopia, revenue sources are assigned between Federal government and Regional states. Regional states can endorse their income tax proclamation and regulations based on the constriction in conformity with the federal income tax proclamation. According to the federal income tax proclamation no.286/2002 tax payers are categorized into three categories, namely category ‘’A’’, ``B’’ and ``C’’ Based on their volume of sales and from of business. Subsequently, the Tax Authority will determine whether the taxpayer shall continue in the same category or should be shifted from one category to the other.</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Category ``A’’ includes any company incorporated under the law of Ethiopia having annual turnover of Birr 1000,000 and more. Those who are categorized under ``A’’ have to maintain all records and accounts which will enable them to submit a balance sheet and profit and loss account disclosing the gross profit, general and administrative expenses, depreciation, and provisions and reserves to gather with supporting vouchers (Council of Ministers </w:t>
      </w:r>
      <w:r>
        <w:rPr>
          <w:rFonts w:ascii="Times New Roman" w:cs="Times New Roman" w:hAnsi="Times New Roman"/>
          <w:sz w:val="24"/>
          <w:szCs w:val="24"/>
        </w:rPr>
        <w:t>Regulationno979/2016: Article 18, Sub Article 2). Category” includes those Enterprise having annual turnover of more than birr 500,000 and less than Birr 1000,000. This category of taxpayers must submit profit and loss statement at the end of the year.</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 law requires all entries in the records and accounts to be supported by appropriate vouchers (Council of Ministers Regulation no.979/2016: article 18, Sub Articale2). Category `C’ unless already classified in categories `A’ and `B’ include those taxpayers whose annual turnover is estimated by the Authority at Birr 500,000 or less. On the other hand, standard assessment is use to determine the income tax liability of category’s’ taxpayers. This type of assessment is a fixed amount of tax determined in accordance with the Council of ministers Regulation established schedules. This category of taxpayers is the most problematic category of taxpayers is the most problematic category of taxpayers and it is considered as hard to tax group. This is the fact that these taxpayers pay taxes at fixed rate on the income estimated by the tax authority rather than declaring and their income by themselves. Their daily income is estimated by assessment committee and the taxpayers have little room to address their view.</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Citizens' willingness to cooperate with the state and pay taxes depends on various variables. Economists emphasize external factors like tax rate, income, audit probability, and fine severity, while psychological research shows internal factors like knowledge of tax law, attitudes towards government, culture, personal norms, perceived social norms, and motivation to comply shape tax behavior. Mixed evidence suggests economic and psychological determinants operate differently under different circumstances.(Kirchler, 2007).Empirical research on determinants of tax behavior has shown mixed evidence on the specific weight of economic variables: some studies found audits and fines to increase compliance; other studies have not found any or even opposite effects (Fischer, Wartick, &amp; mark, 1992; Andreoni, Erard&amp; Feinstein, 1998).The inconsistency of patterns of results suggests that economic and psychological determinants operate different circumstances. Kirchler, Hoizl and Wahl(2008)developed a model suggesting that audits and fines are relevant under the condition of low trust in governmental institutions and tax authorities in particular, especially if the government has the power to exact audits effectively. In a climate of common doubt, citizens can be constrained to comply. On the other hand, in case the climate is characterized by common believe reviews and fines would flag dictatorship and doubt, and hence instead of expanding compliance, be in capable or indeed </w:t>
      </w:r>
      <w:r>
        <w:rPr>
          <w:rFonts w:ascii="Times New Roman" w:cs="Times New Roman" w:hAnsi="Times New Roman"/>
          <w:sz w:val="24"/>
          <w:szCs w:val="24"/>
        </w:rPr>
        <w:t xml:space="preserve">counterproductive. In a climate of shared believe, citizens have positive representations of the assess frameworks and assess specialists and participate suddenly. Tall subjective charge information, favorable states of mind, individual and social standards of participation, as well as seen reasonableness of the charge framework are the premise of a motivational inclination to coordinate, of believe, and of deliberate compliance (Kirchler, 2007).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Consequently, intentional compliance is the want or eagerness of the citizens to act in agreement with </w:t>
      </w:r>
      <w:r>
        <w:rPr>
          <w:rFonts w:ascii="Times New Roman" w:cs="Times New Roman" w:hAnsi="Times New Roman"/>
          <w:sz w:val="24"/>
          <w:szCs w:val="24"/>
        </w:rPr>
        <w:t>the to</w:t>
      </w:r>
      <w:r>
        <w:rPr>
          <w:rFonts w:ascii="Times New Roman" w:cs="Times New Roman" w:hAnsi="Times New Roman"/>
          <w:sz w:val="24"/>
          <w:szCs w:val="24"/>
        </w:rPr>
        <w:t xml:space="preserve"> guarantee charge law and the intentional exertion they work out to pay their charge obligation on opportune premise. The assess framework must be reasonable, both to advance the objective of values distribution of wage and to guarantee proceeded deliberate compliance by the citizen (Eckstein,1979).successful tax organization requires assess payers to cooperate within the operation of a charge framework instead of to be constrained to carry out every aspect of their charge commitment. That's assess law cannot adapt with each projection and thus must be supplemented with supporting arrangements (James and wall schutzky, 1995).Authoritative strategies and choices as well as offer courses of action all have a portion to play but the assess framework cannot work appropriately without a sensible degree of intentional compliance on the portion of taxpayer's themselves. Voluntary tax compliance does not mean to comply with the laws. Although one can look to medieval ideas of the voluntary act to reconcile the IRS use of voluntary compliance, it seems bizarre to square the confusion in this away. The paper has, therefore, tries to assess Voluntary Tax Compliance of </w:t>
      </w:r>
      <w:r>
        <w:rPr>
          <w:rFonts w:ascii="Times New Roman" w:cs="Times New Roman" w:hAnsi="Times New Roman"/>
          <w:noProof/>
          <w:sz w:val="24"/>
          <w:szCs w:val="24"/>
        </w:rPr>
        <w:pict>
          <v:shape id="1030" coordsize="2540,156210" path="m2412,156083l1270,154812em0,153543l0,2159em0,888l1270,0e" filled="f" style="position:absolute;margin-left:346.4pt;margin-top:4.55pt;width:0.2pt;height:12.3pt;z-index:-2147483636;mso-position-horizontal-relative:page;mso-position-vertical-relative:text;mso-width-percent:0;mso-height-percent:0;mso-width-relative:page;mso-height-relative:page;mso-wrap-distance-left:0.0pt;mso-wrap-distance-right:0.0pt;visibility:visible;">
            <v:stroke color="#b5082d" weight="0.14pt"/>
            <v:fill/>
            <v:path textboxrect="0,0,2540,156210" o:connecttype="custom" o:connectlocs="2412,156083;1270,154812;0,153543;0,2159;0,888;1270,0" o:connectangles="0.0,0.0,0.0,0.0,0.0,0.0" arrowok="t"/>
          </v:shape>
        </w:pict>
      </w:r>
      <w:r>
        <w:rPr>
          <w:rFonts w:ascii="Times New Roman" w:cs="Times New Roman" w:hAnsi="Times New Roman"/>
          <w:sz w:val="24"/>
          <w:szCs w:val="24"/>
        </w:rPr>
        <w:t xml:space="preserve"> Category “A” Taxpayers Evidence from Burayu City.</w:t>
      </w:r>
    </w:p>
    <w:bookmarkStart w:id="18" w:name="_Toc203285059"/>
    <w:bookmarkStart w:id="19" w:name="_Toc204249760"/>
    <w:p>
      <w:pPr>
        <w:pStyle w:val="style3"/>
        <w:rPr>
          <w:rFonts w:ascii="Times New Roman" w:cs="Times New Roman" w:hAnsi="Times New Roman"/>
          <w:color w:val="auto"/>
          <w:sz w:val="24"/>
        </w:rPr>
      </w:pPr>
      <w:r>
        <w:rPr>
          <w:rFonts w:ascii="Times New Roman" w:cs="Times New Roman" w:hAnsi="Times New Roman"/>
          <w:color w:val="auto"/>
          <w:sz w:val="24"/>
        </w:rPr>
        <w:t>1.2. Statement of the Problem</w:t>
      </w:r>
      <w:bookmarkEnd w:id="18"/>
      <w:bookmarkEnd w:id="19"/>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As stated by scholz (1998) cited in Fjeldstad (2004), trust is crucial for social co-operation and voluntary compliance with laws and regulations. Voluntary compliance is a function of public of attitude towards taxation and organizational strength (efficiency and effectiveness) of the authority. Public attitude towards taxation is also in turn affected by the social, cultural, and political factors as well as awareness about tax and fairness of the tax system. If it is perceived that only those who are wealthy or dishonesty or both benefit  from non-compliance, this might reduce `tax morale` and the willingness of the rest of the population to comply.</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Ethiopian tax administration, over half a century old, has undergone several legal amendments, focusing on legal enforcement for proper functioning. The income tax proclamation increased </w:t>
      </w:r>
      <w:r>
        <w:rPr>
          <w:rFonts w:ascii="Times New Roman" w:cs="Times New Roman" w:hAnsi="Times New Roman"/>
          <w:sz w:val="24"/>
          <w:szCs w:val="24"/>
        </w:rPr>
        <w:t>penalties and strengthened enforcement, but lacks awareness of taxpayers. Reform efforts focus on institutional capacity building and enforcing legal frameworks, with little effort to raise public awareness of tax benefits. For example, the income tax proclamation (no.286/2016) has increased the amount of penalties and strengthened the means of enforcement while it states nothing about how to sell the awareness of the taxpayers. It gave the tax authorities the right to sell the property of evaders without going to courts in order to collect the outstanding tax liability. Most of the reform efforts basically targeted institutional capacity building and putting enforcing legal frameworks in place while only insignificant effort, if any is deploy to make the public aware of the benefits of paying tax to the nation.</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In a country like Ethiopia are the contribution of revenue to the overall economic development is believe to be very much significant, more local studies on the assessment of tax payers voluntary compliance with tax law is required so as to provide the policy makers and the implementers in the area with relevant information that can help them in designing the appropriate tax system. According to the officials of Burayu sub City Revenue Development Office, however, there are no document researches undertaken on the assessment of tax Payer`s voluntary compliance with tax.</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Therefore, to steep the gap, the tax payers` voluntary compliance with tax law with a special reference to category ``A`` tax payers and identify factors those motivate tax payers to pay taxes in the study area.</w:t>
      </w:r>
    </w:p>
    <w:bookmarkStart w:id="20" w:name="_Toc203285060"/>
    <w:bookmarkStart w:id="21" w:name="_Toc204249761"/>
    <w:p>
      <w:pPr>
        <w:pStyle w:val="style3"/>
        <w:rPr>
          <w:rFonts w:ascii="Times New Roman" w:cs="Times New Roman" w:hAnsi="Times New Roman"/>
          <w:color w:val="auto"/>
        </w:rPr>
      </w:pPr>
      <w:r>
        <w:rPr>
          <w:rFonts w:ascii="Times New Roman" w:cs="Times New Roman" w:hAnsi="Times New Roman"/>
          <w:color w:val="auto"/>
        </w:rPr>
        <w:t>1.3. Objectives of the study</w:t>
      </w:r>
      <w:bookmarkEnd w:id="20"/>
      <w:bookmarkEnd w:id="21"/>
    </w:p>
    <w:bookmarkStart w:id="22" w:name="_Toc203285061"/>
    <w:bookmarkStart w:id="23" w:name="_Toc204249762"/>
    <w:p>
      <w:pPr>
        <w:pStyle w:val="style3"/>
        <w:rPr>
          <w:rFonts w:ascii="Times New Roman" w:cs="Times New Roman" w:hAnsi="Times New Roman"/>
          <w:color w:val="auto"/>
        </w:rPr>
      </w:pPr>
      <w:r>
        <w:rPr>
          <w:rFonts w:ascii="Times New Roman" w:cs="Times New Roman" w:hAnsi="Times New Roman"/>
          <w:color w:val="auto"/>
        </w:rPr>
        <w:t>1.3.1. General objective</w:t>
      </w:r>
      <w:bookmarkEnd w:id="22"/>
      <w:bookmarkEnd w:id="23"/>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main objective of the study is Voluntary Tax Compliance of Category Taxpayers evidence From Burayu City Focusing Specifically on Those Classified As ‘Category </w:t>
      </w:r>
      <w:r>
        <w:rPr>
          <w:rFonts w:ascii="Times New Roman" w:cs="Times New Roman" w:hAnsi="Times New Roman"/>
          <w:sz w:val="24"/>
          <w:szCs w:val="24"/>
        </w:rPr>
        <w:t>A</w:t>
      </w:r>
      <w:r>
        <w:rPr>
          <w:rFonts w:ascii="Times New Roman" w:cs="Times New Roman" w:hAnsi="Times New Roman"/>
          <w:sz w:val="24"/>
          <w:szCs w:val="24"/>
        </w:rPr>
        <w:t xml:space="preserve"> Taxpayers.</w:t>
      </w:r>
    </w:p>
    <w:bookmarkStart w:id="24" w:name="_Toc203285062"/>
    <w:bookmarkStart w:id="25" w:name="_Toc204249763"/>
    <w:p>
      <w:pPr>
        <w:pStyle w:val="style3"/>
        <w:rPr>
          <w:rFonts w:ascii="Times New Roman" w:cs="Times New Roman" w:hAnsi="Times New Roman"/>
          <w:color w:val="auto"/>
        </w:rPr>
      </w:pPr>
      <w:r>
        <w:rPr>
          <w:rFonts w:ascii="Times New Roman" w:cs="Times New Roman" w:hAnsi="Times New Roman"/>
          <w:color w:val="auto"/>
        </w:rPr>
        <w:t>1.3.2. Specific Objectives</w:t>
      </w:r>
      <w:bookmarkEnd w:id="24"/>
      <w:bookmarkEnd w:id="25"/>
      <w:r>
        <w:rPr>
          <w:rFonts w:ascii="Times New Roman" w:cs="Times New Roman" w:hAnsi="Times New Roman"/>
          <w:color w:val="auto"/>
        </w:rPr>
        <w:t xml:space="preserve">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 specific objectives of the study include:</w:t>
      </w:r>
    </w:p>
    <w:p>
      <w:pPr>
        <w:pStyle w:val="style179"/>
        <w:numPr>
          <w:ilvl w:val="0"/>
          <w:numId w:val="1"/>
        </w:numPr>
        <w:spacing w:lineRule="auto" w:line="360"/>
        <w:rPr>
          <w:rFonts w:ascii="Times New Roman" w:cs="Times New Roman" w:hAnsi="Times New Roman"/>
          <w:sz w:val="24"/>
        </w:rPr>
      </w:pPr>
      <w:r>
        <w:rPr>
          <w:rFonts w:ascii="Times New Roman" w:cs="Times New Roman" w:hAnsi="Times New Roman"/>
          <w:sz w:val="24"/>
        </w:rPr>
        <w:t>To identify the Participation of government expenditure Tax audit</w:t>
      </w:r>
    </w:p>
    <w:p>
      <w:pPr>
        <w:pStyle w:val="style179"/>
        <w:numPr>
          <w:ilvl w:val="0"/>
          <w:numId w:val="1"/>
        </w:numPr>
        <w:spacing w:lineRule="auto" w:line="360"/>
        <w:rPr>
          <w:rFonts w:ascii="Times New Roman" w:cs="Times New Roman" w:hAnsi="Times New Roman"/>
          <w:sz w:val="24"/>
        </w:rPr>
      </w:pPr>
      <w:r>
        <w:rPr>
          <w:rFonts w:ascii="Times New Roman" w:cs="Times New Roman" w:hAnsi="Times New Roman"/>
          <w:sz w:val="24"/>
        </w:rPr>
        <w:t>To access the Demographic factors (Age, Gender, education, level of income, economic, social and individual) on compliance tax.</w:t>
      </w:r>
    </w:p>
    <w:p>
      <w:pPr>
        <w:pStyle w:val="style179"/>
        <w:numPr>
          <w:ilvl w:val="0"/>
          <w:numId w:val="1"/>
        </w:numPr>
        <w:spacing w:lineRule="auto" w:line="360"/>
        <w:rPr>
          <w:rFonts w:ascii="Times New Roman" w:cs="Times New Roman" w:hAnsi="Times New Roman"/>
          <w:sz w:val="24"/>
        </w:rPr>
      </w:pPr>
      <w:r>
        <w:rPr>
          <w:rFonts w:ascii="Times New Roman" w:cs="Times New Roman" w:hAnsi="Times New Roman"/>
          <w:sz w:val="24"/>
        </w:rPr>
        <w:t xml:space="preserve">To reveals the Personal financial status Tax knowledge of category “A” tax payers in Burayu sub-city. </w:t>
      </w:r>
    </w:p>
    <w:bookmarkStart w:id="26" w:name="_Toc203285063"/>
    <w:bookmarkStart w:id="27" w:name="_Toc204249764"/>
    <w:p>
      <w:pPr>
        <w:pStyle w:val="style3"/>
        <w:spacing w:lineRule="auto" w:line="360"/>
        <w:rPr>
          <w:rFonts w:ascii="Times New Roman" w:cs="Times New Roman" w:hAnsi="Times New Roman"/>
          <w:color w:val="auto"/>
        </w:rPr>
      </w:pPr>
      <w:r>
        <w:rPr>
          <w:rFonts w:ascii="Times New Roman" w:cs="Times New Roman" w:hAnsi="Times New Roman"/>
          <w:color w:val="auto"/>
        </w:rPr>
        <w:t>1.4. Research Questions</w:t>
      </w:r>
      <w:bookmarkEnd w:id="26"/>
      <w:bookmarkEnd w:id="27"/>
    </w:p>
    <w:p>
      <w:pPr>
        <w:pStyle w:val="style179"/>
        <w:numPr>
          <w:ilvl w:val="0"/>
          <w:numId w:val="1"/>
        </w:numPr>
        <w:spacing w:lineRule="auto" w:line="360"/>
        <w:rPr>
          <w:rFonts w:ascii="Times New Roman" w:cs="Times New Roman" w:hAnsi="Times New Roman"/>
          <w:sz w:val="24"/>
        </w:rPr>
      </w:pPr>
      <w:r>
        <w:rPr>
          <w:rFonts w:ascii="Times New Roman" w:cs="Times New Roman" w:hAnsi="Times New Roman"/>
          <w:sz w:val="24"/>
        </w:rPr>
        <w:t>The study has been undertaken to address the following research questions:</w:t>
      </w:r>
    </w:p>
    <w:p>
      <w:pPr>
        <w:pStyle w:val="style179"/>
        <w:numPr>
          <w:ilvl w:val="0"/>
          <w:numId w:val="1"/>
        </w:numPr>
        <w:spacing w:lineRule="auto" w:line="360"/>
        <w:rPr>
          <w:rFonts w:ascii="Times New Roman" w:cs="Times New Roman" w:hAnsi="Times New Roman"/>
          <w:sz w:val="24"/>
        </w:rPr>
      </w:pPr>
      <w:r>
        <w:rPr>
          <w:rFonts w:ascii="Times New Roman" w:cs="Times New Roman" w:hAnsi="Times New Roman"/>
          <w:sz w:val="24"/>
        </w:rPr>
        <w:t>What is the Participation of government expenditure on Tax audit?</w:t>
      </w:r>
    </w:p>
    <w:p>
      <w:pPr>
        <w:pStyle w:val="style179"/>
        <w:numPr>
          <w:ilvl w:val="0"/>
          <w:numId w:val="1"/>
        </w:numPr>
        <w:spacing w:lineRule="auto" w:line="360"/>
        <w:rPr>
          <w:rFonts w:ascii="Times New Roman" w:cs="Times New Roman" w:hAnsi="Times New Roman"/>
          <w:sz w:val="24"/>
        </w:rPr>
      </w:pPr>
      <w:r>
        <w:rPr>
          <w:rFonts w:ascii="Times New Roman" w:cs="Times New Roman" w:hAnsi="Times New Roman"/>
          <w:sz w:val="24"/>
        </w:rPr>
        <w:t>How Demographic factors (Age, Gender, education, level of income, economic, social and individual) on compliance tax?</w:t>
      </w:r>
    </w:p>
    <w:p>
      <w:pPr>
        <w:pStyle w:val="style179"/>
        <w:numPr>
          <w:ilvl w:val="0"/>
          <w:numId w:val="1"/>
        </w:numPr>
        <w:spacing w:lineRule="auto" w:line="360"/>
        <w:rPr>
          <w:rFonts w:ascii="Times New Roman" w:cs="Times New Roman" w:hAnsi="Times New Roman"/>
          <w:sz w:val="24"/>
        </w:rPr>
      </w:pPr>
      <w:r>
        <w:rPr>
          <w:rFonts w:ascii="Times New Roman" w:cs="Times New Roman" w:hAnsi="Times New Roman"/>
          <w:sz w:val="24"/>
        </w:rPr>
        <w:t xml:space="preserve">What is the Personal financial status Tax knowledge of category “A” tax payers in Burayu sub-city? </w:t>
      </w:r>
    </w:p>
    <w:bookmarkStart w:id="28" w:name="_Toc203285064"/>
    <w:bookmarkStart w:id="29" w:name="_Toc204249765"/>
    <w:p>
      <w:pPr>
        <w:pStyle w:val="style3"/>
        <w:rPr>
          <w:rFonts w:ascii="Times New Roman" w:cs="Times New Roman" w:hAnsi="Times New Roman"/>
          <w:color w:val="auto"/>
          <w:sz w:val="24"/>
        </w:rPr>
      </w:pPr>
      <w:r>
        <w:rPr>
          <w:rFonts w:ascii="Times New Roman" w:cs="Times New Roman" w:hAnsi="Times New Roman"/>
          <w:color w:val="auto"/>
          <w:sz w:val="24"/>
        </w:rPr>
        <w:t>1.5. Significance of the study</w:t>
      </w:r>
      <w:bookmarkEnd w:id="28"/>
      <w:bookmarkEnd w:id="29"/>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Taxes are fundamental to the existence of governments for the tax revenues finances the bulk of services that government provides including education, welfare, public safety, infrastructure, and basic public services. Improved tax system improves the revenue available for supporting public service without increasing the current tax burden on compliant tax payers. Moreover, improved tax system bolsters citizens’ satisfaction by increasing their faith in the system and promoting the perception that everyone pays its legal share.</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 attitude of taxpayers toward taxes is the primary factor influencing the success of a tax system. It might be challenging to create an efficient and effective tax system that contributes to closing the current compliance gap unless these voluntary compliance determinants are identified and appropriately addressed. Therefore, this study may be important in helping policy makers and other relevant bodies address issues with voluntary compliance by providing pertinent information. Furthermore, since there hasn't been much research done on taxpayers' voluntary compliance, the study is thought to highlight the significance of conducting more research in this area.</w:t>
      </w:r>
    </w:p>
    <w:bookmarkStart w:id="30" w:name="_Toc203285065"/>
    <w:bookmarkStart w:id="31" w:name="_Toc204249766"/>
    <w:p>
      <w:pPr>
        <w:pStyle w:val="style3"/>
        <w:rPr>
          <w:rFonts w:ascii="Times New Roman" w:cs="Times New Roman" w:hAnsi="Times New Roman"/>
          <w:color w:val="auto"/>
          <w:sz w:val="24"/>
        </w:rPr>
      </w:pPr>
      <w:r>
        <w:rPr>
          <w:rFonts w:ascii="Times New Roman" w:cs="Times New Roman" w:hAnsi="Times New Roman"/>
          <w:color w:val="auto"/>
          <w:sz w:val="24"/>
        </w:rPr>
        <w:t>1.6. Scope of the study</w:t>
      </w:r>
      <w:bookmarkEnd w:id="30"/>
      <w:bookmarkEnd w:id="31"/>
    </w:p>
    <w:bookmarkStart w:id="32" w:name="_Toc203285066"/>
    <w:bookmarkStart w:id="33" w:name="_Toc204249767"/>
    <w:p>
      <w:pPr>
        <w:pStyle w:val="style0"/>
        <w:spacing w:after="0"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This study investigates the voluntary tax compliance of Category A taxpayers in Burayu City. </w:t>
      </w:r>
      <w:r>
        <w:rPr>
          <w:rFonts w:ascii="Times New Roman" w:cs="Times New Roman" w:eastAsia="Times New Roman" w:hAnsi="Times New Roman"/>
          <w:sz w:val="24"/>
          <w:szCs w:val="24"/>
        </w:rPr>
        <w:t>Categories A taxpayers, defined by law, are</w:t>
      </w:r>
      <w:r>
        <w:rPr>
          <w:rFonts w:ascii="Times New Roman" w:cs="Times New Roman" w:eastAsia="Times New Roman" w:hAnsi="Times New Roman"/>
          <w:sz w:val="24"/>
          <w:szCs w:val="24"/>
        </w:rPr>
        <w:t xml:space="preserve"> mandated to declare their income and maintain proper accounting records, making them a challenging group for tax authorities to monitor. The focus of this research is on taxpayers registered under Category A as of 2017, aiming to provide </w:t>
      </w:r>
      <w:r>
        <w:rPr>
          <w:rFonts w:ascii="Times New Roman" w:cs="Times New Roman" w:eastAsia="Times New Roman" w:hAnsi="Times New Roman"/>
          <w:sz w:val="24"/>
          <w:szCs w:val="24"/>
        </w:rPr>
        <w:t>insights into their compliance behaviors and the factors influencing their adherence to tax regulations.</w:t>
      </w:r>
    </w:p>
    <w:p>
      <w:pPr>
        <w:pStyle w:val="style3"/>
        <w:rPr>
          <w:rFonts w:ascii="Times New Roman" w:cs="Times New Roman" w:hAnsi="Times New Roman"/>
          <w:color w:val="auto"/>
        </w:rPr>
      </w:pPr>
      <w:r>
        <w:rPr>
          <w:rFonts w:ascii="Times New Roman" w:cs="Times New Roman" w:hAnsi="Times New Roman"/>
          <w:color w:val="auto"/>
        </w:rPr>
        <w:t>1.7. Limitation of study</w:t>
      </w:r>
      <w:bookmarkEnd w:id="32"/>
      <w:bookmarkEnd w:id="33"/>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A notable limitations was the time and financial constraints experienced by the research. Despite efforts to effectively budget time and resources to ensure timely completion of the project, these constraints in inevitable impacted the scope of the research. Consequently, the findings may have been influenced by the limited data available and the restricted capacity to the Explore all relevant dimensions of voluntary compliance among this specific taxpayer class in Burayu sub city. This study would have limited to the usage of conclusion and recommendation to be drawn from analysis and the findings which cover only in the case of Burayu sub city with category </w:t>
      </w:r>
      <w:r>
        <w:rPr>
          <w:rFonts w:ascii="Times New Roman" w:cs="Times New Roman" w:hAnsi="Times New Roman"/>
          <w:sz w:val="24"/>
          <w:szCs w:val="24"/>
        </w:rPr>
        <w:t>A</w:t>
      </w:r>
      <w:r>
        <w:rPr>
          <w:rFonts w:ascii="Times New Roman" w:cs="Times New Roman" w:hAnsi="Times New Roman"/>
          <w:sz w:val="24"/>
          <w:szCs w:val="24"/>
        </w:rPr>
        <w:t xml:space="preserve"> tax payers. This study acknowledges these limitations and suggests that further research in this area could provide more comprehensive insights into the voluntary compliance behaviors of category a taxpayers.    </w:t>
      </w:r>
    </w:p>
    <w:bookmarkStart w:id="34" w:name="_Toc203285067"/>
    <w:bookmarkStart w:id="35" w:name="_Toc204249768"/>
    <w:p>
      <w:pPr>
        <w:pStyle w:val="style3"/>
        <w:rPr>
          <w:rFonts w:ascii="Times New Roman" w:cs="Times New Roman" w:hAnsi="Times New Roman"/>
          <w:color w:val="auto"/>
          <w:sz w:val="24"/>
        </w:rPr>
      </w:pPr>
      <w:r>
        <w:rPr>
          <w:rFonts w:ascii="Times New Roman" w:cs="Times New Roman" w:hAnsi="Times New Roman"/>
          <w:color w:val="auto"/>
          <w:sz w:val="24"/>
        </w:rPr>
        <w:t>1.8. Organizational study</w:t>
      </w:r>
      <w:bookmarkEnd w:id="34"/>
      <w:bookmarkEnd w:id="35"/>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This study is organized into five chapters. Chapter one comprises introduction, statement of the problem, objective of study, significant of study and scope of study. Chapter two is made of reviewed of literature of Voluntary Tax Compliance of Category Taxpayers evidence From Burayu City where as chapter three includes outlines of the research methodology, procedures to be used in this study, sources and types of data collection instruments and chapter four presents about the data analysis and interpretation of the outputs. The final chapter (chapter five) presents a conclusion, recommendations, and further research suggestions.</w:t>
      </w: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lang w:val="en-GB"/>
        </w:rPr>
      </w:pPr>
    </w:p>
    <w:p>
      <w:pPr>
        <w:pStyle w:val="style0"/>
        <w:tabs>
          <w:tab w:val="left" w:leader="none" w:pos="7545"/>
        </w:tabs>
        <w:spacing w:lineRule="auto" w:line="360"/>
        <w:jc w:val="both"/>
        <w:rPr>
          <w:rFonts w:ascii="Times New Roman" w:cs="Times New Roman" w:hAnsi="Times New Roman"/>
          <w:sz w:val="24"/>
          <w:szCs w:val="24"/>
          <w:lang w:val="en-GB"/>
        </w:rPr>
      </w:pPr>
    </w:p>
    <w:p>
      <w:pPr>
        <w:pStyle w:val="style0"/>
        <w:tabs>
          <w:tab w:val="left" w:leader="none" w:pos="7545"/>
        </w:tabs>
        <w:spacing w:lineRule="auto" w:line="360"/>
        <w:jc w:val="both"/>
        <w:rPr>
          <w:rFonts w:ascii="Times New Roman" w:cs="Times New Roman" w:hAnsi="Times New Roman"/>
          <w:sz w:val="24"/>
          <w:szCs w:val="24"/>
          <w:lang w:val="en-GB"/>
        </w:rPr>
      </w:pPr>
    </w:p>
    <w:p>
      <w:pPr>
        <w:pStyle w:val="style0"/>
        <w:tabs>
          <w:tab w:val="left" w:leader="none" w:pos="7545"/>
        </w:tabs>
        <w:spacing w:lineRule="auto" w:line="360"/>
        <w:jc w:val="both"/>
        <w:rPr>
          <w:rFonts w:ascii="Times New Roman" w:cs="Times New Roman" w:hAnsi="Times New Roman"/>
          <w:sz w:val="24"/>
          <w:szCs w:val="24"/>
          <w:lang w:val="en-GB"/>
        </w:rPr>
      </w:pPr>
    </w:p>
    <w:bookmarkStart w:id="36" w:name="_Toc130756437"/>
    <w:bookmarkStart w:id="37" w:name="_Toc167342528"/>
    <w:bookmarkStart w:id="38" w:name="_Toc204249769"/>
    <w:p>
      <w:pPr>
        <w:pStyle w:val="style1"/>
        <w:jc w:val="center"/>
        <w:rPr>
          <w:rFonts w:ascii="Times New Roman" w:cs="Times New Roman" w:hAnsi="Times New Roman"/>
          <w:color w:val="auto"/>
        </w:rPr>
      </w:pPr>
      <w:r>
        <w:rPr>
          <w:rFonts w:ascii="Times New Roman" w:cs="Times New Roman" w:hAnsi="Times New Roman"/>
          <w:color w:val="auto"/>
        </w:rPr>
        <w:t>CHAPTER TWO</w:t>
      </w:r>
      <w:bookmarkEnd w:id="36"/>
      <w:bookmarkEnd w:id="37"/>
      <w:bookmarkEnd w:id="38"/>
    </w:p>
    <w:bookmarkStart w:id="39" w:name="_Toc130756438"/>
    <w:bookmarkStart w:id="40" w:name="_Toc167342529"/>
    <w:bookmarkStart w:id="41" w:name="_Toc204249770"/>
    <w:p>
      <w:pPr>
        <w:pStyle w:val="style2"/>
        <w:rPr>
          <w:sz w:val="28"/>
        </w:rPr>
      </w:pPr>
      <w:r>
        <w:rPr>
          <w:sz w:val="28"/>
        </w:rPr>
        <w:t>2. LITERATURE REVIEW</w:t>
      </w:r>
      <w:bookmarkEnd w:id="39"/>
      <w:bookmarkEnd w:id="40"/>
      <w:bookmarkEnd w:id="41"/>
    </w:p>
    <w:bookmarkStart w:id="42" w:name="_Toc165432031"/>
    <w:bookmarkStart w:id="43" w:name="_Toc203285070"/>
    <w:bookmarkStart w:id="44" w:name="_Toc204249771"/>
    <w:p>
      <w:pPr>
        <w:pStyle w:val="style0"/>
        <w:keepNext/>
        <w:keepLines/>
        <w:numPr>
          <w:ilvl w:val="1"/>
          <w:numId w:val="0"/>
        </w:numPr>
        <w:spacing w:before="200" w:after="0" w:lineRule="auto" w:line="360"/>
        <w:ind w:left="576" w:hanging="576"/>
        <w:outlineLvl w:val="1"/>
        <w:rPr>
          <w:rFonts w:ascii="Times New Roman" w:cs="Times New Roman" w:eastAsia="SimSun" w:hAnsi="Times New Roman"/>
          <w:b/>
          <w:bCs/>
          <w:sz w:val="26"/>
          <w:szCs w:val="26"/>
        </w:rPr>
      </w:pPr>
      <w:r>
        <w:rPr>
          <w:rFonts w:ascii="Times New Roman" w:cs="Times New Roman" w:eastAsia="SimSun" w:hAnsi="Times New Roman"/>
          <w:b/>
          <w:bCs/>
          <w:sz w:val="26"/>
          <w:szCs w:val="26"/>
        </w:rPr>
        <w:t xml:space="preserve">2.1. Theoretical </w:t>
      </w:r>
      <w:bookmarkEnd w:id="42"/>
      <w:r>
        <w:rPr>
          <w:rFonts w:ascii="Times New Roman" w:cs="Times New Roman" w:eastAsia="SimSun" w:hAnsi="Times New Roman"/>
          <w:b/>
          <w:bCs/>
          <w:sz w:val="26"/>
          <w:szCs w:val="26"/>
        </w:rPr>
        <w:t>review</w:t>
      </w:r>
      <w:bookmarkEnd w:id="43"/>
      <w:bookmarkEnd w:id="44"/>
    </w:p>
    <w:bookmarkStart w:id="45" w:name="_Toc165432032"/>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This chapter presents literature review of the area of the study is </w:t>
      </w:r>
      <w:r>
        <w:rPr>
          <w:rFonts w:ascii="Times New Roman" w:cs="Times New Roman" w:hAnsi="Times New Roman"/>
          <w:sz w:val="24"/>
          <w:szCs w:val="24"/>
        </w:rPr>
        <w:t>the assess</w:t>
      </w:r>
      <w:r>
        <w:rPr>
          <w:rFonts w:ascii="Times New Roman" w:cs="Times New Roman" w:hAnsi="Times New Roman"/>
          <w:sz w:val="24"/>
          <w:szCs w:val="24"/>
        </w:rPr>
        <w:t xml:space="preserve"> voluntary tax compliance of category A. First it presents the concept and theories supporting the study and Followed by a review of the empirical studies conducted by research on organizational climate on commitment and finally the Conceptual framework developed based on the literature reviewed.</w:t>
      </w:r>
    </w:p>
    <w:bookmarkStart w:id="46" w:name="_Toc203285071"/>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2.1.1. </w:t>
      </w:r>
      <w:r>
        <w:rPr>
          <w:rFonts w:ascii="Times New Roman" w:cs="Times New Roman" w:hAnsi="Times New Roman"/>
          <w:b/>
          <w:bCs/>
          <w:sz w:val="24"/>
          <w:szCs w:val="24"/>
        </w:rPr>
        <w:t>Definition of tax compliance</w:t>
      </w:r>
      <w:bookmarkEnd w:id="45"/>
      <w:bookmarkEnd w:id="46"/>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definition of tax compliance in its most simple form is usually cast in terms of terms of the degree to which taxpayers comply with the tax law. However like many such concepts the meaning of compliance can be   seen almost as a continuum of definitions. This ranges from the narrow law enforcement approach, through wider economic definitions and on to even more comprehensive version relating to taxpayers decisions to conform to the wider objective of society as reflected in tax police (James and Alley, 2002). Commencing with the less extensive degree of non-conformity, a suggested approach is to gauge non-compliance through the 'tax gap'. This denotes the difference between the actual revenue collected and the revenue that would be obtained if there was 100% compliance. Andreoni Erard and Feinstein (1998) introduce a temporal element into compliance, focusing predominantly on tax evasion as the fundamental aspect of the tax gap definition. As they explain, "A widely-used measurement of evasion's scale is the gap the difference between the federal income taxes households truly owe, and what they report and pay voluntarily and punctually." Regarding the temporal aspect, James (2000) asserts that a taxpayer may eventually meet their full obligation, but if the payment is delayed, they cannot be considered compliant. A more recent definition of compliance by Brown &amp; Mazur (2003) consists of three distinct categories: payment compliance, filing compliance, and reporting compliance. </w:t>
      </w: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However, these fundamental concepts of the 'tax gap' related to non-compliance appear overly basic for successful tax administration, necessitating taxpayers to cooperate in tax operations rather than being compelled to fulfill their responsibilities unwillingly (IRS, 1996).</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One of the main issues with such definitions is that they could be interpreted as suggesting an unattainable certainty in the assessment of tax compliance. The tax code is not always exact. In fact, even though tax gaps are frequently found in legal definitions, practical interpretation challenges can arise. According to Bergman (1998), tax compliance "is what the state assumes taxpayers owe them legally, but taxpayers and the states do not always see it that way.” Taxpayers' fundamental willingness to abide by the tax system is one factor that may influence how much they contest the meaning of the tax code. It appears that the fundamental idea of the "tax gap" of non-compliance is insufficient. For practical law enforcement purposes, the definition and measurement of the "tax gap" are far too simplistic, as effective tax administration necessitates taxpayer cooperation in the functioning of the tax system rather than requiring them to fulfill all of their tax obligations. Since tax law is not able to account for every scenario, it needs to be complemented with supplementary provisions (James and Wallschutzky, 1995).</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While administrative processes, decision-making processes, and appeals processes all have a role to play, the tax system cannot function effectively without a reasonable level of willing compliance from taxpayers. One concern is whether "compliance" describes behavior that is required or voluntary. Even if 100% of taxes were increased in accordance with the "tax gap" concept of noncompliance, it would not seem to be appropriate compliance if taxpayers only "comply" in response to severe threats, harassment, or both. Alternatively, one could counter that effective tax administration necessitates voluntary compliance from taxpayers, without the need for inquiries, intrusive investigations, reminders, or the threat or actual imposition of administrative or legal penalties. Therefore, the degree of compliance with tax law and administration that can be attained without the actual use of enforcement action may be a more appropriate definition. Andreoni et al.'s definitions include this voluntary component (1998), which acknowledges a fundamental distinction in compliance between taxes paid in response to direct enforcement action and taxes paid anthem absence of such action.</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Taxpayers may choose to work fewer hours in order to lower their tax liability if they felt that taxes were unjust or invasive. Despite the potential cost to them, the feeling of retaliation may exceed the expense. Taxes may also be used as a justification for avoiding unwelcome overtime or other commitments. Although the strength of such retaliatory impacts is unknown, it is plausible that challenges in taxpayer willingness to comply might have an impact on revenue potential in addition to the direct costs of compliance. Because there is less to collect, the "tax gap" concept of non-compliance may thus have been partially met (Spicer and Lundsted, 1976).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A more comprehensive economic definition of compliance ought to consider additional potential economic consequences of the tax system and its implementation. Some economic analysis of these options has been done; Cowell (1985), for instance, examined the scenario in which an employee has the option of deciding how much time they wish to dedicate to work of any kind versus leisure, in addition to choosing between working in the legal or illegal sectors. Furthermore, specific evidence has demonstrated that labor supply may be impacted by tax audit uncertainty (Horowitz and Horowitz, 2000). Drawing the conclusion that tax administration may lower potential tax revenue by deterring taxable economic activity makes sense. Inversely, then, a strict tax enforcement agency may even assert, based on the limited interpretation of the "tax gap," that it enhanced tax compliance by lowering the amount that needed to be collected. The value of the possible revenue will also be impacted by timing concerns. Even though a taxpayer may ultimately pay all of their tax liability, a late payment will not be regarded as fully compliant or valued equally to a timely or even earlier payment of the tax liability. Economically speaking, the same nominal amount of money today has less value than it does tomorrow. If taxes are not paid on time, the government either has to raise more money elsewhere or has less money available for spending on public projects. Even though they don't, late tax payments fit the bill for many "tax gap" measures.</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However, if taxpayers go to in ordinate lengths to reduce their liability, this could hardly be considered’ compliance’ either. Such activities might include engaging in artificial transactions to avoid tax, searching out every possible legitimate deduction, using delaying tactics and appeals wherever this might reduce the flow of tax payment and so on. ‘Tax exiles’ even seem to prefer to emigrate rather than fulfill their obligations as citizens.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Such actions obviously do not comply with the spirit of the law, even if they do so in letter. Therefore, it may be more appropriate to define compliance as abiding by both the letter and the spirit of the law. Intentional non-compliance is a topic covered in a large number of compliance studies. Nonetheless, there is a good chance that inadvertent noncompliance will occur. To ensure full compliance, taxpayers may need to take proactive measures to fulfill their legal obligations.</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It could be the case that taxpayers mistakenly fail to file their taxes because they don't understand or don't know how to file their returns accurately, or for other similar reasons. The challenge of helping taxpayers has frequently proven to be more challenging than it might initially seem in attempts by various tax authorities to improve tax administration in this regard (James et al., all., 1987 and Wallschutzky, James, and Sawyer, 1998).</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tax avoidance or evasion issue may be important with respect to tax compliance for another reason. The two activities are defined the way they are with an implicit assumption that it is always possible to distinguish between the two. Of course, this is not always true. Since taxation is not always precise, Seldon (1979) in James et a l(2003) has coined the term tax’ avoision’ to denote those areas of the tax system where the law is unclear.  To the extent that there is such uncertainty in a tax system, it follows that tax compliance should follow the spirit of the law. It would therefore seem that compliance is a much wider issue than simply the gap between actual revenue and some concept of 100 percent of revenue collected.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In all the expression, compliance can be understood as acting in accordance with the law and non-compliance is deviation from the law. Based on the above expressions the definition of tax compliance can be shortly refined as the desire or willingness of the taxpayers to act in accordance with the tax law and the voluntary effort they exercise to pay their tax liability on timely basis. </w:t>
      </w:r>
    </w:p>
    <w:bookmarkStart w:id="47" w:name="_Toc165432033"/>
    <w:bookmarkStart w:id="48" w:name="_Toc203285072"/>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2.1.2. </w:t>
      </w:r>
      <w:r>
        <w:rPr>
          <w:rFonts w:ascii="Times New Roman" w:cs="Times New Roman" w:hAnsi="Times New Roman"/>
          <w:b/>
          <w:bCs/>
          <w:sz w:val="24"/>
          <w:szCs w:val="24"/>
        </w:rPr>
        <w:t>Factors determining tax compliance behavior</w:t>
      </w:r>
      <w:bookmarkEnd w:id="47"/>
      <w:bookmarkEnd w:id="48"/>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Researchers have discussed fourteen primary factors that have impacted tax compliance, which were listed by Jackson and Milliron (1986). Age, gender, education, income, status or occupation, influence from peers or other taxpayers, ethics, legal ramifications, intricacy, interaction with the IRS, sources of income, perception of the tax system's fairness, </w:t>
      </w:r>
      <w:r>
        <w:rPr>
          <w:rFonts w:ascii="Times New Roman" w:cs="Times New Roman" w:hAnsi="Times New Roman"/>
          <w:sz w:val="24"/>
          <w:szCs w:val="24"/>
        </w:rPr>
        <w:t>likelihood of an audit, and tax rate are some of these variables. In addition to moral or ethical considerations, a number of researchers have identified variables that affect tax compliance, including income, tax agents, compliance costs, and demographics (Mohani, 2003). (Singh 2003: Kasipillai ET, al. (2003).</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Other researchers (Sour, 2002, Keller 1997, Trivedi 1997, Hamm 1995, Chang, et, al 1987) listed enforcement element factors (such as penalty, audit, and tax rates) as having a great influence on tax compliance behaviors. Tax compliance behaviors of a tax payer usually differ from the compliance behaviors estimated in economics models. Tax payers are greatly influenced by other tax payers. Besides, the rate and quality of audit will also influence tax compliance behaviors of a tax payer (Trivedi 1997).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Due and Friedlander (1981) also state that a person’s preference for a tax may be influenced if the tax – or an increase in it- is tied directly to the expenditures he strongly favors. Generally, attitudes toward choice of taxes and tax structures are greatly influenced by various criteria- often called principle- of taxation that has come to be widely accepted.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A comprehensive review of determinant of tax payer’s voluntary compliance with taxation such as cultural background of tax payers, their awareness level, fairness/equity, tax payers’ attitude towards government, socio-political factors, organizational strength of tax authority, will be touched. The empirical work of various researchers and other reference materials are scanned to have basic conceptual framework of the subject matter. </w:t>
      </w:r>
    </w:p>
    <w:bookmarkStart w:id="49" w:name="_Toc165432034"/>
    <w:bookmarkStart w:id="50" w:name="_Toc203285073"/>
    <w:bookmarkStart w:id="51" w:name="_Toc204249772"/>
    <w:p>
      <w:pPr>
        <w:pStyle w:val="style3"/>
        <w:rPr>
          <w:rFonts w:ascii="Times New Roman" w:cs="Times New Roman" w:hAnsi="Times New Roman"/>
          <w:color w:val="auto"/>
          <w:sz w:val="24"/>
        </w:rPr>
      </w:pPr>
      <w:r>
        <w:rPr>
          <w:rFonts w:ascii="Times New Roman" w:cs="Times New Roman" w:hAnsi="Times New Roman"/>
          <w:color w:val="auto"/>
          <w:sz w:val="24"/>
        </w:rPr>
        <w:t xml:space="preserve">2.2. </w:t>
      </w:r>
      <w:r>
        <w:rPr>
          <w:rFonts w:ascii="Times New Roman" w:cs="Times New Roman" w:hAnsi="Times New Roman"/>
          <w:color w:val="auto"/>
          <w:sz w:val="24"/>
        </w:rPr>
        <w:t>Fairness/equity</w:t>
      </w:r>
      <w:bookmarkEnd w:id="49"/>
      <w:bookmarkEnd w:id="50"/>
      <w:bookmarkEnd w:id="51"/>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Bhatia (1976) stated that a good tax system selects and upholds a particular principle that becomes its characteristic in order to achieve various objectives. Therefore, an equitable tax system is one that is built upon a suitable set of guiding principles, like certainty and equality or fairness. Since a tax system's fairness is its fundamental component, the following paragraphs can provide a quick summary. The most obvious requirement of equity or fairness, according to James (2000), is to treat equal people equally in equal circumstances. Determining who is equal to who in this situation is problematic. Due and Friedlander (1981) contend that determining what taxes are fair or equitable is inherently a value judgment. They further contend that there is no way to scientifically specify an equitable distribution </w:t>
      </w:r>
      <w:r>
        <w:rPr>
          <w:rFonts w:ascii="Times New Roman" w:cs="Times New Roman" w:hAnsi="Times New Roman"/>
          <w:sz w:val="24"/>
          <w:szCs w:val="24"/>
        </w:rPr>
        <w:t>pattern and that individuals may have eq</w:t>
      </w:r>
      <w:r>
        <w:rPr>
          <w:rFonts w:ascii="Times New Roman" w:cs="Times New Roman" w:hAnsi="Times New Roman"/>
          <w:sz w:val="24"/>
          <w:szCs w:val="24"/>
        </w:rPr>
        <w:t xml:space="preserve">ual incomes but differ in terms </w:t>
      </w:r>
      <w:r>
        <w:rPr>
          <w:rFonts w:ascii="Times New Roman" w:cs="Times New Roman" w:hAnsi="Times New Roman"/>
          <w:sz w:val="24"/>
          <w:szCs w:val="24"/>
        </w:rPr>
        <w:t>of their expenditures, wealth, total utility, and </w:t>
      </w:r>
      <w:r>
        <w:rPr>
          <w:rFonts w:ascii="Times New Roman" w:cs="Times New Roman" w:hAnsi="Times New Roman"/>
          <w:sz w:val="24"/>
          <w:szCs w:val="24"/>
        </w:rPr>
        <w:t xml:space="preserve">other factors. Only a consensus </w:t>
      </w:r>
      <w:r>
        <w:rPr>
          <w:rFonts w:ascii="Times New Roman" w:cs="Times New Roman" w:hAnsi="Times New Roman"/>
          <w:sz w:val="24"/>
          <w:szCs w:val="24"/>
        </w:rPr>
        <w:t xml:space="preserve">of people's attitudes in today's society allows for the specification of such a pattern.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Lemessa (2005) also adds that a major responsibility is to ensure that all taxpayers dealt with by a given official are accorded similar treatment and that all official dealing with a given taxpayers would accord the same treatment. Similarly, Brooks 2001 states that fairness has always been widely regarded as the most important criteria in judging a tax system.</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problem of unfairness is that a tax system allows taxes to be shifted from dishonest to honest taxpayers. The fairness of tax system may also be perceived in different ways by the taxpayers and tax authorities.  What is a fair in the eye of the tax authorities may not have the same image in the mind of the taxpayers.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According to Bhatia (1976), the attitude of taxpayers is an important variable determining the contents of a good tax system. It may be assumed that each taxpayer would like to be exempted from taxpaying, while he would not mind if others bear that burden. In any case he would want his share to be within the general level of tax burden being borne by others. If this is not so he will feel exploited.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Similarly Due and Friedlander (1981) argue that persons will oppose taxes that they feel strike them ‘’unfairly; and allow others to escape a “reasonable” burden’ and they will favor taxes they accept to concentrate on others especially when “others” are non- humans such as corporations. To sum regardless of this inherent problem ensuring the fairness or equity of a tax system is second to nothing. </w:t>
      </w:r>
    </w:p>
    <w:bookmarkStart w:id="52" w:name="_Toc165432035"/>
    <w:bookmarkStart w:id="53" w:name="_Toc203285074"/>
    <w:bookmarkStart w:id="54" w:name="_Toc204249773"/>
    <w:p>
      <w:pPr>
        <w:pStyle w:val="style3"/>
        <w:rPr>
          <w:rFonts w:ascii="Times New Roman" w:cs="Times New Roman" w:hAnsi="Times New Roman"/>
          <w:color w:val="auto"/>
          <w:sz w:val="24"/>
        </w:rPr>
      </w:pPr>
      <w:r>
        <w:rPr>
          <w:rFonts w:ascii="Times New Roman" w:cs="Times New Roman" w:hAnsi="Times New Roman"/>
          <w:color w:val="auto"/>
          <w:sz w:val="24"/>
        </w:rPr>
        <w:t xml:space="preserve">2.3. </w:t>
      </w:r>
      <w:r>
        <w:rPr>
          <w:rFonts w:ascii="Times New Roman" w:cs="Times New Roman" w:hAnsi="Times New Roman"/>
          <w:color w:val="auto"/>
          <w:sz w:val="24"/>
        </w:rPr>
        <w:t>Organizational strength of tax authorities</w:t>
      </w:r>
      <w:bookmarkEnd w:id="52"/>
      <w:bookmarkEnd w:id="53"/>
      <w:bookmarkEnd w:id="54"/>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According to bird and old man (1967), no tax will work effectively, unless its administrations maintain an aggressive attitude with respect to the correctness of the taxpayers’ actions. Some taxpayers will fail to file or make mistakes through ignorance or neglect; others will deliberately cheat. A passive attitude by the authorities towards these errors and falsification will soon undermine the entire structure, since the diligent and honest taxpayers will almost in self-defense be forced to the level of the careless and dishonest. A tax administration which seeks compliance must protect those who comply or else compliance will not be forthcoming. Most commentators, </w:t>
      </w:r>
      <w:r>
        <w:rPr>
          <w:rFonts w:ascii="Times New Roman" w:cs="Times New Roman" w:hAnsi="Times New Roman"/>
          <w:sz w:val="24"/>
          <w:szCs w:val="24"/>
        </w:rPr>
        <w:t>police makers and tax administration agree that voluntary compliance would be greatly facilitated by the existence of a simplified tax structures.</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In fact, even the most complex service provided by the tax administrations to taxpayers would be lost in a sea of confusion, waste, and general disdain for the law absent institutional simplification that helps taxpayers carry out their obligations more successfully Bahl, 1989 Jenkins 1992. Taxpayers will find it easier to determine their tax liability and to fully comply with tax laws in the event of a simpler tax structure. According to Bird and Old man (1967), the presence of a significant tax payment delinquency is a surefire indicator of ineffective tax administration because it shows that taxpayers do not respect the tax system. In essence, the taxpayers are acting on his view that, despite its barking, the administrative apparatus is toothless. These authors contend that offering the bite that is, efficient tax collection is largely responsible for reducing the high rate of delinquency. This is a subset of the more significant issue of offering sufficient penalties, which will be discussed in more detail later. Put another way, tax evasion occurs to the extent that taxpayers regard tax authorities as being incompetent. Tax systems are not self-contained entities. The public is its first priority at all times, and since taxes affect almost every person in the country in some capacity, the administration also deals with the country as a whole. Therefore, it follows that the country's views regarding the tax system have an inevitable impact on its operation and efficacy.</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Rational and efficient procedures, higher personal standards, better management, improvement in relation with the public and in the daily contacts between tax official and taxpayer, can operate to increase the public respect for the tax administration. Moreover, once the tax administration has been placed on a sound basis, it is in a position to assert that compliance must be forthcoming. Such an assertion would hardly be tolerated or even taken seriously, as long as tax official were themselves inefficient and corrupt. But if the administration has brought stability and honesty to its own operations the self-respect thus achieved can form the foundation for its demand of respect and compliance from the tax payer.</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According to Lemessa (2005), tax systems that rely on administrative processes run the risk of quickly losing credibility and compromising compliance. Equally important is that tax authorities apply the law equitably to promote compliance.</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This suggests that there must be "normative standards" to guarantee that the same laws are applied and administered consistently throughout, as well as a lack of arbitrary or corrupt behavior on the part of the officials. If the revenue administration provides a reasonable level of service to taxpayers in their efforts to comply, taxpayers (Peacock and forte, 1981) will be more receptive to information on their obligation. Even the most devoted taxpayers may become disenchanted with bureaucratic hassles in processing their cases, such as poorly prepared forms, lengthy wait times and even fees for obtaining them, rude officials, onerous appeals processes, and the like. On the other hand the ways in which revenue authorities interact with taxpayers and their own employees have an impact on public perception of the tax system and the degree of voluntary compliance. Taxpayers who are aware of their rights and expect, and in fact receive a fair and efficient treatment are more willing to comply. Voluntary compliance is promoted not only by an awareness of right and expectations of a fair and efficient treatment but also by clear simply and “user friendly” administrative systems and procedures. Voluntary compliance is enhanced when it is easier for taxpayers to do so.</w:t>
      </w:r>
    </w:p>
    <w:bookmarkStart w:id="55" w:name="_Toc203285075"/>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2.3.1 </w:t>
      </w:r>
      <w:r>
        <w:rPr>
          <w:rFonts w:ascii="Times New Roman" w:cs="Times New Roman" w:hAnsi="Times New Roman"/>
          <w:b/>
          <w:bCs/>
          <w:sz w:val="24"/>
          <w:szCs w:val="24"/>
        </w:rPr>
        <w:t>Awareness Level of Taxpayers</w:t>
      </w:r>
      <w:bookmarkEnd w:id="55"/>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According to James (2000), complying is more common than</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w:t>
      </w:r>
      <w:r>
        <w:rPr>
          <w:rFonts w:ascii="Times New Roman" w:cs="Times New Roman" w:hAnsi="Times New Roman"/>
          <w:sz w:val="24"/>
          <w:szCs w:val="24"/>
        </w:rPr>
        <w:t>not</w:t>
      </w:r>
      <w:r>
        <w:rPr>
          <w:rFonts w:ascii="Times New Roman" w:cs="Times New Roman" w:hAnsi="Times New Roman"/>
          <w:sz w:val="24"/>
          <w:szCs w:val="24"/>
        </w:rPr>
        <w:t> complying. As was already mentioned, the majority of taxpayers must comply for a tax system to be effective. As a result, helping the majority of taxpayers who comply with the law to fulfill their financial obligations might yield bigger rewards than devoting additional resources to going after the small percentage of taxpayers who do not. Even though a large number of taxpayers would be willing to comply completely, they are unable to do so because they are unaware of or do not comprehend their entire obligation. These taxpayersmay not know how to fulfill their obligations or may not be able to for various reasons, even if they are aware of them. Conversely, some authors, like Smith and Kinsey (1987), contend that tax evasion is a deliberate action.</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In countries like Ethiopia where most of the business community have no access to information, lack of awareness cannot simply be overlooked rather it can be assumed as a major determinant of tax compliance behavior.</w:t>
      </w:r>
    </w:p>
    <w:p>
      <w:pPr>
        <w:pStyle w:val="style0"/>
        <w:tabs>
          <w:tab w:val="left" w:leader="none" w:pos="7545"/>
        </w:tabs>
        <w:spacing w:lineRule="auto" w:line="360"/>
        <w:jc w:val="both"/>
        <w:rPr>
          <w:rFonts w:ascii="Times New Roman" w:cs="Times New Roman" w:hAnsi="Times New Roman"/>
          <w:sz w:val="24"/>
          <w:szCs w:val="24"/>
        </w:rPr>
      </w:pPr>
    </w:p>
    <w:bookmarkStart w:id="56" w:name="_Toc203285076"/>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2.3.2. </w:t>
      </w:r>
      <w:r>
        <w:rPr>
          <w:rFonts w:ascii="Times New Roman" w:cs="Times New Roman" w:hAnsi="Times New Roman"/>
          <w:b/>
          <w:bCs/>
          <w:sz w:val="24"/>
          <w:szCs w:val="24"/>
        </w:rPr>
        <w:t>Cultural factors</w:t>
      </w:r>
      <w:bookmarkEnd w:id="56"/>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Culture is considered to be powerful environmental factors that affect the </w:t>
      </w:r>
      <w:r>
        <w:rPr>
          <w:rFonts w:ascii="Times New Roman" w:cs="Times New Roman" w:hAnsi="Times New Roman"/>
          <w:sz w:val="24"/>
          <w:szCs w:val="24"/>
        </w:rPr>
        <w:t>taxpayers</w:t>
      </w:r>
      <w:r>
        <w:rPr>
          <w:rFonts w:ascii="Times New Roman" w:cs="Times New Roman" w:hAnsi="Times New Roman"/>
          <w:sz w:val="24"/>
          <w:szCs w:val="24"/>
        </w:rPr>
        <w:t xml:space="preserve"> compliance. Different social norms and ethical values will create different incentive for tax compliance.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In fact, ethical values influenced by social norms may prohibit taxpayers from engaging in tax evasion (Blanthorne and Kaplan 2008). The cultural frame work most widely used is that of Hofstede (1980). Based on an attitude survey of about 116,000 employees, Hofstede identifies four underlying societal values; individualism, power distance, uncertainty avoidance and masculinity. Cultural research has found significant differences between the US and Chinese citizens (Hofstede 1991). Chan et al. 2000 suggests that the cultural dimension affecting tax compliance is collectivism and individualism. In Hofstedes model individualism and collectivism refer to the degree of interdependence a society maintains among individuals (Hofstede, 1991).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 degree of integration that a society maintains among its members is related to the cultural dimension of individualism. When individuals prioritize themselves over their social group, it is an indication of a high individualism culture. This viewpoint views an individual as distinct from and unrelated to a group affiliation. People from cultures with lower levels of individualism, like Chinese citizens, are more likely to be collectivists who adhere to the norms of their in-groups in order to be accepted by their peers and rise in society (Hofstede, 1991). In contrast, a high individualism culture such as US citizens is signified by people focusing on themselves rather than on the group to which they belong. From this vantage point, they see themselves as unique individuals and think highly of their rights. These cultural variations might directly affect moral development and ethical values, which would then influence choices about tax compliance.</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study conducted by chan et al. (2000) indicates that culture of the taxpayers has an impact on taxpayer’s compliance efforts. There are reasons to believe that societal reasons may account for the way taxpayers behave. While tax evasion may be considered wrong and immoral in some societies, it may be regarded as socially tolerable in other (Schwartz and Orleans 1967;, Ekstrand, 1980; Warneryd and Walerud, 1982).in countries with a tradition of high compliance with tax law; few tax payers would attempt tax evasion strategies. However empirical evidence </w:t>
      </w:r>
      <w:r>
        <w:rPr>
          <w:rFonts w:ascii="Times New Roman" w:cs="Times New Roman" w:hAnsi="Times New Roman"/>
          <w:sz w:val="24"/>
          <w:szCs w:val="24"/>
        </w:rPr>
        <w:t>seems to suggest that taxpayers compliance with the law is influenced by their perception about whether or not other tax payers are complying (Van den Doel, 1979; Laver 1981; Lewis 1982), especially when they fell that the taxes they pay are intended for worthy purposes (Old man 1965; dean, Keenan and Kenney 1980).</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In Ethiopia where the system of government has evolved from feudal (where taxes were used by individuals in the government) to current one, it is obvious that negative attitude towards tax has been developed in the society. In this sense it is difficult to conclude that there is a culture in the country that appreciates voluntary compliance. </w:t>
      </w:r>
    </w:p>
    <w:bookmarkStart w:id="57" w:name="_Toc203285077"/>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2.3.3. </w:t>
      </w:r>
      <w:r>
        <w:rPr>
          <w:rFonts w:ascii="Times New Roman" w:cs="Times New Roman" w:hAnsi="Times New Roman"/>
          <w:b/>
          <w:bCs/>
          <w:sz w:val="24"/>
          <w:szCs w:val="24"/>
        </w:rPr>
        <w:t>Social factors</w:t>
      </w:r>
      <w:bookmarkEnd w:id="57"/>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 issue of (non-) compliance is not only a question of state society relationship but also a question of relationship between citizens and or groups of citizens within local communities. There is an existing social bond between the society and this bond influences the members of the society a complying with the tax law. That is taxpayers may be influenced by their Peer groups to comply or not to comply with the tax law. Peers are usually referred to taxpayer’s associates and include friends, relatives and colleagues (Jackson and Milliron, 1986). The peer influence is reflected individuals expectations in relation to the approval or disapproval of that tax nan-compliance behavior.</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Sanvely (1990) also noted that an individual's reference group, which includes friends, neighbors, and family, has an impact on their compliance behavior and attitude toward the tax system. A taxpayer will therefore be less likely to comply if he knows a large number of people in groups that are significant to him but who evade taxes. However, social relationships can also serve as a deterrent for people who are afraid of facing social consequences if their evasion is found out and made public (Grasmick and Green, 1980; and grasmick and Scott, 1982). Mason and colleagues conducted a survey. (1975) discovers that individuals who violate tax laws are more likely to talk about tax issues with their peers. The research that Chan et al. (2000) also demonstrates that taxpayers may continue to violate the law as long as their actions are in line with the norms and expectations of their in-group.</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As cited by slemrod (2000) and Levi (1998) in (Fjeldstad and Ramker, 2003) the dimension of trust that seem to affect compliance is trust in other citizens to pay their share of service charges. In particular, trust in other citizens to pay share seems to be important. The larger the fraction of the local population that is observed not paying, the lower perceived risk of being prosecuted. This has impacts on the individual taxpayer’s perception of the credibility and trustworthiness of the revenue administration. </w:t>
      </w:r>
    </w:p>
    <w:bookmarkStart w:id="58" w:name="_Toc203285078"/>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2.3.4 </w:t>
      </w:r>
      <w:r>
        <w:rPr>
          <w:rFonts w:ascii="Times New Roman" w:cs="Times New Roman" w:hAnsi="Times New Roman"/>
          <w:b/>
          <w:bCs/>
          <w:sz w:val="24"/>
          <w:szCs w:val="24"/>
        </w:rPr>
        <w:t>Taxpayers attitude towards the government</w:t>
      </w:r>
      <w:bookmarkEnd w:id="58"/>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The presence of government expenditure may motivate compliance (Alm, Jackson, and Mckee, 1992; Anreoni</w:t>
      </w:r>
      <w:r>
        <w:rPr>
          <w:rFonts w:ascii="Times New Roman" w:cs="Times New Roman" w:hAnsi="Times New Roman"/>
          <w:sz w:val="24"/>
          <w:szCs w:val="24"/>
        </w:rPr>
        <w:t>,et</w:t>
      </w:r>
      <w:r>
        <w:rPr>
          <w:rFonts w:ascii="Times New Roman" w:cs="Times New Roman" w:hAnsi="Times New Roman"/>
          <w:sz w:val="24"/>
          <w:szCs w:val="24"/>
        </w:rPr>
        <w:t xml:space="preserve"> al, Cowell and Gordon, 1988). Individuals may pay tax because they value the goods provided by the government, recognizing that their payments are necessary both to help finance the goods and services and to get others to contribute. A tax payer, therefore, is seen as exchanging purchasing power in the market in return for government services (Levi 1988). Positive benefits may increase the probability that tax payers will comply voluntarily, without direct coercion. Without a material benefit, compliance becomes less assured. Although most tax payers cannot assess the exact value of what they receive from the government in return for taxes paid, it can be argued that they have general impressions and attitudes concerning their own and other terms of trade with the government (Richupan).</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It makes sense to infer that a taxpayer's behavior is influenced by how happy or unhappy he is with the terms of his deal with the government. Therefore, tax evasion may be interpreted as an attempt by the tax payer to modify his terms of trade with the government if the tax system is thought to be unfair. Wahlund (1992) added that tax compliance is correlated with political affiliation, meaning that voters for social democratic parties are more likely to comply with tax laws than those for liberal parties.</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Similarly, Due and Friedlander (1981), also argue that, attitude toward the general level of taxation and tax increases are dependent of course, on attitude about the desirability of governmental programs and on attitudes toward the government itself. On the other hand, (Fjeldstad, 2004) Citizens’ willingness to pay taxes voluntarily rests on the local governments capacity to provide services and its demonstrating readiness to secure the compliance of the otherwise non-compliant. </w:t>
      </w:r>
    </w:p>
    <w:bookmarkStart w:id="59" w:name="_Toc203285079"/>
    <w:bookmarkStart w:id="60" w:name="_Toc204249774"/>
    <w:p>
      <w:pPr>
        <w:pStyle w:val="style3"/>
        <w:rPr>
          <w:rFonts w:ascii="Times New Roman" w:cs="Times New Roman" w:hAnsi="Times New Roman"/>
          <w:color w:val="auto"/>
          <w:sz w:val="24"/>
        </w:rPr>
      </w:pPr>
      <w:r>
        <w:rPr>
          <w:rFonts w:ascii="Times New Roman" w:cs="Times New Roman" w:hAnsi="Times New Roman"/>
          <w:color w:val="auto"/>
          <w:sz w:val="24"/>
        </w:rPr>
        <w:t xml:space="preserve">2.4. </w:t>
      </w:r>
      <w:r>
        <w:rPr>
          <w:rFonts w:ascii="Times New Roman" w:cs="Times New Roman" w:hAnsi="Times New Roman"/>
          <w:color w:val="auto"/>
          <w:sz w:val="24"/>
        </w:rPr>
        <w:t>Non-Compliance Behavior</w:t>
      </w:r>
      <w:bookmarkEnd w:id="59"/>
      <w:bookmarkEnd w:id="60"/>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Most theories of tax compliance, as well as empirical works (Smith and Kinsey, 1987) have until recently been premised on the assumptions that tax under reporting is an intentional behavior. Behavior that is unintentional has either been ignored or set aside in a footnote or can be safely ignored as random noise.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However, as noted earlier, the evidence is accumulating that unintentional noncompliance is neither small nor inconsequential. Nor it is necessary random in nature. As far as Ethiopians practice is concerned tax non-compliance is not only an intentional behavior it is also attributed to lack of ability to pay, lack of awareness and weak institutional capacity of the revenue administrations and other factors . </w:t>
      </w:r>
    </w:p>
    <w:bookmarkStart w:id="61" w:name="_Toc165432036"/>
    <w:bookmarkStart w:id="62" w:name="_Toc203285080"/>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2.4.1 </w:t>
      </w:r>
      <w:r>
        <w:rPr>
          <w:rFonts w:ascii="Times New Roman" w:cs="Times New Roman" w:hAnsi="Times New Roman"/>
          <w:b/>
          <w:bCs/>
          <w:sz w:val="24"/>
          <w:szCs w:val="24"/>
        </w:rPr>
        <w:t>Dimension of ensuring compliance behavior</w:t>
      </w:r>
      <w:bookmarkEnd w:id="61"/>
      <w:bookmarkEnd w:id="62"/>
    </w:p>
    <w:p>
      <w:pPr>
        <w:pStyle w:val="style0"/>
        <w:tabs>
          <w:tab w:val="left" w:leader="none" w:pos="7545"/>
        </w:tabs>
        <w:spacing w:lineRule="auto" w:line="360"/>
        <w:jc w:val="both"/>
        <w:rPr>
          <w:rFonts w:ascii="Times New Roman" w:cs="Times New Roman" w:hAnsi="Times New Roman"/>
          <w:i/>
          <w:iCs/>
          <w:sz w:val="24"/>
          <w:szCs w:val="24"/>
        </w:rPr>
      </w:pPr>
      <w:r>
        <w:rPr>
          <w:rFonts w:ascii="Times New Roman" w:cs="Times New Roman" w:hAnsi="Times New Roman"/>
          <w:sz w:val="24"/>
          <w:szCs w:val="24"/>
        </w:rPr>
        <w:t>Edmund Burke asserts that "the state is the revenue of the state" in Long and Swingmen (1991). Stated differently, the government is meaningless without the right to levy taxes and the people's willingness to follow the laws. The long-standing subject of why people pay or do not pay taxes is of primary interest because taxes are a fundamental requirement for the existence of all prosperous states. It is obvious that a lot depends on the intentions of taxpayers (James, 2000). There have been differing analyses in this complex field from various commentators. The two primary strategies are to focus on likelihood detection and sanctions for non-compliance (the "carrot and stick" strategy) or on initiatives meant to encourage taxpayers to pay taxes (the "responsible citizens" approach).</w:t>
      </w:r>
    </w:p>
    <w:bookmarkStart w:id="63" w:name="_Toc203285081"/>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2.4.2 </w:t>
      </w:r>
      <w:r>
        <w:rPr>
          <w:rFonts w:ascii="Times New Roman" w:cs="Times New Roman" w:hAnsi="Times New Roman"/>
          <w:b/>
          <w:bCs/>
          <w:sz w:val="24"/>
          <w:szCs w:val="24"/>
        </w:rPr>
        <w:t>The carrot and stick approach</w:t>
      </w:r>
      <w:bookmarkEnd w:id="63"/>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According to James (2000), the carrot and stick approach is based on a relatively narrow interrelationship of economic rationality. According to this approach, totally moral individuals’ maximize their utility by maximizing their income and wealth. They will evade tax if they consider that by doing so they can expect to increase their spending power .non-compliance can therefore be explained by factors such as the level of tax rates, the probability of being caught evading, the penalties imposed and the degree of risk aversion.</w:t>
      </w:r>
    </w:p>
    <w:bookmarkStart w:id="64" w:name="_Toc203285082"/>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2.4.3 </w:t>
      </w:r>
      <w:r>
        <w:rPr>
          <w:rFonts w:ascii="Times New Roman" w:cs="Times New Roman" w:hAnsi="Times New Roman"/>
          <w:b/>
          <w:bCs/>
          <w:sz w:val="24"/>
          <w:szCs w:val="24"/>
        </w:rPr>
        <w:t>The Responsible Citizens Approach</w:t>
      </w:r>
      <w:bookmarkEnd w:id="64"/>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Regarding the responsible citizens approach James (2000) extends his discussion that looking outside economics; other academic disciplines have suggested factors which might be important in influencing taxpayers’ behavior.</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Sociology has offered a number of variables such as social support, social influence, attitudes and certain background characteristics such as age, gender, race and culture. Psychology reinforces this approach and has even created its own branch of ‘fiscal psychology’. The contribution from psychology includes the indication that attitudes towards the state, the revenue authorities are as important factors are perceptions of equity.</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If psychological and sociological factors are important then a major drawback of the carrot and stick approach becomes apparent. While such an approach might be considered by some as suitable for donkeys human beings might not respond so positively. The result might be a reduction in voluntary compliance. For instance strumpel (1969) and schmolders (1970) as cited in James (2000) reported that the German tax system was very rigid in its assessment procedures, which led to an effective but expensive and confrontational system. The result was a high degree of alienation and resistance among taxpayers.</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 conclusion would seem to be that a successful compliance policy should take account of the much wider range of motivations than simply rewards and punishments (James 2000) and stated in (Eckstein ,1979) tax system must also be fair, both to promote the objective of an equitable distribution of income to assure continued voluntary compliance by taxpayers.</w:t>
      </w:r>
    </w:p>
    <w:bookmarkStart w:id="65" w:name="_Toc203285083"/>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2.4.4 </w:t>
      </w:r>
      <w:r>
        <w:rPr>
          <w:rFonts w:ascii="Times New Roman" w:cs="Times New Roman" w:hAnsi="Times New Roman"/>
          <w:b/>
          <w:bCs/>
          <w:sz w:val="24"/>
          <w:szCs w:val="24"/>
        </w:rPr>
        <w:t>The Relevance of Understanding Tax Compliance</w:t>
      </w:r>
      <w:bookmarkEnd w:id="65"/>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As per James et al. (2003), various tax departments have been transitioning towards a more advanced methodology for tax compliance. Previously, it appeared that with minimal aid for taxpayers and an enforcement plan in place, tax compliance could be sustained at an acceptable level. However, there appears to be a shift in perspectives, viewing taxpayers less as obligatory payers who merely need to be charged for their due taxes and more as clients who may require specific assistance and assistance.</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According to lamessa (2005), when compliance is not achieved on voluntary basis, revenue authorities must identify and address the risk associated with noncompliance by developing </w:t>
      </w:r>
      <w:r>
        <w:rPr>
          <w:rFonts w:ascii="Times New Roman" w:cs="Times New Roman" w:hAnsi="Times New Roman"/>
          <w:sz w:val="24"/>
          <w:szCs w:val="24"/>
        </w:rPr>
        <w:t>strategies targeted at those risks. Voluntary compliance is maximized when revenue authorities are aware major developments and trends in the business and legislative enforcement, and are responsive to their implications on tax administration and compliance.</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Smith and Kinsey (1987) suggest that the decision to comply or not comply may simply come down to convenience, opportunity, or even legal interpretation. A tax's distributive justification, legality, economic and social purpose, and revenue yield could all be compromised if it is not properly imposed and collected. Whatever the reasons offered, a tax is ineffective if it is evaded or avoided (Shultz and Harris, 1949). Insofar as governments are expected to provide services and perform other functions, taxes are an inevitable phenomenon in any economy or nation. Even though taxes have existed for as long as governments, there are still gaps in every country when it comes to voluntary compliance, especially in developing nations like Ethiopia. Many citizens view taxes as unavoidable evils that must exist in order to function normally. Because of this, the topic of voluntary compliance is crucial to discussing the efficacy and efficiency of a tax system. According to the literature review above, a number of authors have written about the variables that influence voluntary compliance behavior and the connections between it and different administrative, legal, and socio cultural aspects.</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Legal enforcement (i.e. penalties and sanctions) are all exist in the tax laws of every nation in varying degrees. But still are gaps in tax compliance regardless of these laws. This clearly shows that tax compliance cannot be ensured only through enforcement or stick approach. Even through the existence of enforcement and penalties cannot be undermined when dealing with tax compliance, focusing on positive side i.e. encouraging voluntary compliance is by far rewarding as far as long lasting and consistent advantage is concerned. Hence the understanding of tax compliance that is why people tend to comply and why they tempt to evade, gives a clear road map to the solution of this very classical problem in varying degrees. But still are gaps in tax compliance regardless of these laws.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This clearly shows that tax compliance cannot be ensured only through enforcement or stick approach. Even though the existence of enforcement and penalties cannot be undermined when deal with tax compliance focusing on positive side. Encouraging voluntary compliance is by far rewarding as far as long lasting and consistent advantage is concerning. Hence, the </w:t>
      </w:r>
      <w:r>
        <w:rPr>
          <w:rFonts w:ascii="Times New Roman" w:cs="Times New Roman" w:hAnsi="Times New Roman"/>
          <w:sz w:val="24"/>
          <w:szCs w:val="24"/>
        </w:rPr>
        <w:t>understanding of the tax compliance that is why people tend to comply and why they tempt to evade, gives a clear road map to the solution of this very classical problem.</w:t>
      </w:r>
    </w:p>
    <w:bookmarkStart w:id="66" w:name="_Toc203285084"/>
    <w:bookmarkStart w:id="67" w:name="_Toc204249775"/>
    <w:p>
      <w:pPr>
        <w:pStyle w:val="style3"/>
        <w:rPr>
          <w:rFonts w:ascii="Times New Roman" w:cs="Times New Roman" w:hAnsi="Times New Roman"/>
          <w:color w:val="auto"/>
          <w:sz w:val="24"/>
        </w:rPr>
      </w:pPr>
      <w:r>
        <w:rPr>
          <w:rFonts w:ascii="Times New Roman" w:cs="Times New Roman" w:hAnsi="Times New Roman"/>
          <w:color w:val="auto"/>
          <w:sz w:val="24"/>
        </w:rPr>
        <w:t xml:space="preserve">2.5. </w:t>
      </w:r>
      <w:r>
        <w:rPr>
          <w:rFonts w:ascii="Times New Roman" w:cs="Times New Roman" w:hAnsi="Times New Roman"/>
          <w:color w:val="auto"/>
          <w:sz w:val="24"/>
        </w:rPr>
        <w:t>Taxation in Ethiopia</w:t>
      </w:r>
      <w:bookmarkEnd w:id="66"/>
      <w:bookmarkEnd w:id="67"/>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 Federal Democratic Republic of Ethiopia (FDRE) established in 1995 divided taxation authority into three categories: those that were given solely to the federal government, those that were given to regional states, and those that were given to both the federal and regional governments simultaneously. According to the constitution, regional states are able to tax and gather revenue from sources that are delegated to them. The administration of revenues that are solely owned by the federal government and those that are jointly owned by both is the responsibility of the Ethiopian Revenue and Customs Authority (ERCA). The task of overseeing the taxes delegated to them is placed on regional revenue authorities (World Bank Group, 2016).</w:t>
      </w:r>
    </w:p>
    <w:bookmarkStart w:id="68" w:name="_Toc203285085"/>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2.5.1 </w:t>
      </w:r>
      <w:r>
        <w:rPr>
          <w:rFonts w:ascii="Times New Roman" w:cs="Times New Roman" w:hAnsi="Times New Roman"/>
          <w:b/>
          <w:bCs/>
          <w:sz w:val="24"/>
          <w:szCs w:val="24"/>
        </w:rPr>
        <w:t>Business Categories in Ethiopia</w:t>
      </w:r>
      <w:bookmarkEnd w:id="68"/>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law classifies business income taxpayers into three major categories based on their legal personality and gross income, according to the Federal Income Tax Proclamation No. 976/2016: </w:t>
      </w:r>
      <w:r>
        <w:rPr>
          <w:rFonts w:ascii="Times New Roman" w:cs="Times New Roman" w:hAnsi="Times New Roman"/>
          <w:bCs/>
          <w:sz w:val="24"/>
          <w:szCs w:val="24"/>
        </w:rPr>
        <w:t>Category A Taxpayer</w:t>
      </w:r>
      <w:r>
        <w:rPr>
          <w:rFonts w:ascii="Times New Roman" w:cs="Times New Roman" w:hAnsi="Times New Roman"/>
          <w:sz w:val="24"/>
          <w:szCs w:val="24"/>
        </w:rPr>
        <w:t xml:space="preserve">: A body (e.g., a corporation or organization); or any individual with an annual gross income of 1,000,000 birr or more. </w:t>
      </w:r>
      <w:r>
        <w:rPr>
          <w:rFonts w:ascii="Times New Roman" w:cs="Times New Roman" w:hAnsi="Times New Roman"/>
          <w:bCs/>
          <w:sz w:val="24"/>
          <w:szCs w:val="24"/>
        </w:rPr>
        <w:t>Category B Taxpayer</w:t>
      </w:r>
      <w:r>
        <w:rPr>
          <w:rFonts w:ascii="Times New Roman" w:cs="Times New Roman" w:hAnsi="Times New Roman"/>
          <w:sz w:val="24"/>
          <w:szCs w:val="24"/>
        </w:rPr>
        <w:t xml:space="preserve">: An individual (not a body) with an annual gross income of 500,000 birr or more but less than 1,000,000 birr. </w:t>
      </w:r>
      <w:r>
        <w:rPr>
          <w:rFonts w:ascii="Times New Roman" w:cs="Times New Roman" w:hAnsi="Times New Roman"/>
          <w:bCs/>
          <w:sz w:val="24"/>
          <w:szCs w:val="24"/>
        </w:rPr>
        <w:t>Category C Taxpayer</w:t>
      </w:r>
      <w:r>
        <w:rPr>
          <w:rFonts w:ascii="Times New Roman" w:cs="Times New Roman" w:hAnsi="Times New Roman"/>
          <w:sz w:val="24"/>
          <w:szCs w:val="24"/>
        </w:rPr>
        <w:t xml:space="preserve">: An individual (not a body) with an annual gross income of less than 500,000 birr. According to this legislation, there are four schedules of income: </w:t>
      </w:r>
      <w:r>
        <w:rPr>
          <w:rFonts w:ascii="Times New Roman" w:cs="Times New Roman" w:hAnsi="Times New Roman"/>
          <w:bCs/>
          <w:sz w:val="24"/>
          <w:szCs w:val="24"/>
        </w:rPr>
        <w:t>Schedule A</w:t>
      </w:r>
      <w:r>
        <w:rPr>
          <w:rFonts w:ascii="Times New Roman" w:cs="Times New Roman" w:hAnsi="Times New Roman"/>
          <w:sz w:val="24"/>
          <w:szCs w:val="24"/>
        </w:rPr>
        <w:t xml:space="preserve">: Income from employment, </w:t>
      </w:r>
      <w:r>
        <w:rPr>
          <w:rFonts w:ascii="Times New Roman" w:cs="Times New Roman" w:hAnsi="Times New Roman"/>
          <w:bCs/>
          <w:sz w:val="24"/>
          <w:szCs w:val="24"/>
        </w:rPr>
        <w:t>Schedule B</w:t>
      </w:r>
      <w:r>
        <w:rPr>
          <w:rFonts w:ascii="Times New Roman" w:cs="Times New Roman" w:hAnsi="Times New Roman"/>
          <w:sz w:val="24"/>
          <w:szCs w:val="24"/>
        </w:rPr>
        <w:t xml:space="preserve">: Income from rental of buildings, </w:t>
      </w:r>
      <w:r>
        <w:rPr>
          <w:rFonts w:ascii="Times New Roman" w:cs="Times New Roman" w:hAnsi="Times New Roman"/>
          <w:bCs/>
          <w:sz w:val="24"/>
          <w:szCs w:val="24"/>
        </w:rPr>
        <w:t>Schedule C</w:t>
      </w:r>
      <w:r>
        <w:rPr>
          <w:rFonts w:ascii="Times New Roman" w:cs="Times New Roman" w:hAnsi="Times New Roman"/>
          <w:sz w:val="24"/>
          <w:szCs w:val="24"/>
        </w:rPr>
        <w:t xml:space="preserve">: Business </w:t>
      </w:r>
      <w:r>
        <w:rPr>
          <w:rFonts w:ascii="Times New Roman" w:cs="Times New Roman" w:hAnsi="Times New Roman"/>
          <w:sz w:val="24"/>
          <w:szCs w:val="24"/>
        </w:rPr>
        <w:t>profit,</w:t>
      </w:r>
      <w:r>
        <w:rPr>
          <w:rFonts w:ascii="Times New Roman" w:cs="Times New Roman" w:hAnsi="Times New Roman"/>
          <w:sz w:val="24"/>
          <w:szCs w:val="24"/>
        </w:rPr>
        <w:t xml:space="preserve"> and </w:t>
      </w:r>
      <w:r>
        <w:rPr>
          <w:rFonts w:ascii="Times New Roman" w:cs="Times New Roman" w:hAnsi="Times New Roman"/>
          <w:bCs/>
          <w:sz w:val="24"/>
          <w:szCs w:val="24"/>
        </w:rPr>
        <w:t>Schedule D</w:t>
      </w:r>
      <w:r>
        <w:rPr>
          <w:rFonts w:ascii="Times New Roman" w:cs="Times New Roman" w:hAnsi="Times New Roman"/>
          <w:sz w:val="24"/>
          <w:szCs w:val="24"/>
        </w:rPr>
        <w:t>: Other income Focusing on Schedule C (business profit tax), it indicates that tax is imposed on profits obtained from entrepreneurial activities. The tax rates range from 10% to 35% for individual taxpayers (unincorporated entities) and are set at 30% for profits earned by bodies (incorporated entities) (World Bank Group, 2016).</w:t>
      </w:r>
    </w:p>
    <w:bookmarkStart w:id="69" w:name="_Toc203285086"/>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2.5.2 </w:t>
      </w:r>
      <w:r>
        <w:rPr>
          <w:rFonts w:ascii="Times New Roman" w:cs="Times New Roman" w:hAnsi="Times New Roman"/>
          <w:b/>
          <w:bCs/>
          <w:sz w:val="24"/>
          <w:szCs w:val="24"/>
        </w:rPr>
        <w:t>Declaration of Business income</w:t>
      </w:r>
      <w:bookmarkEnd w:id="69"/>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Categories A and B the tax is assessed based on the profit and loss statement prepared in accordance with the Generally Accepted Accounting Principles (GAAP) subject to the specific rules as provided in the income tax legislation (World Bank Group, 2016). In accordance within </w:t>
      </w:r>
      <w:r>
        <w:rPr>
          <w:rFonts w:ascii="Times New Roman" w:cs="Times New Roman" w:hAnsi="Times New Roman"/>
          <w:sz w:val="24"/>
          <w:szCs w:val="24"/>
        </w:rPr>
        <w:t>come tax proclamation no 979/2016, category “A” tax payers shall prepare and submit balance sheet and profit and loss statement within 4 month from the end of the tax payer’s tax year. Category “B” tax payers within 2 months from the tax payers’ tax years. Category “C” tax payers within 1 month from the tax payers tax year.</w:t>
      </w:r>
    </w:p>
    <w:bookmarkStart w:id="70" w:name="_Toc203285087"/>
    <w:bookmarkStart w:id="71" w:name="_Toc204249776"/>
    <w:p>
      <w:pPr>
        <w:pStyle w:val="style3"/>
        <w:rPr>
          <w:rFonts w:ascii="Times New Roman" w:cs="Times New Roman" w:hAnsi="Times New Roman"/>
          <w:color w:val="auto"/>
          <w:sz w:val="24"/>
        </w:rPr>
      </w:pPr>
      <w:r>
        <w:rPr>
          <w:rFonts w:ascii="Times New Roman" w:cs="Times New Roman" w:hAnsi="Times New Roman"/>
          <w:color w:val="auto"/>
          <w:sz w:val="24"/>
        </w:rPr>
        <w:t xml:space="preserve">2.6. </w:t>
      </w:r>
      <w:r>
        <w:rPr>
          <w:rFonts w:ascii="Times New Roman" w:cs="Times New Roman" w:hAnsi="Times New Roman"/>
          <w:color w:val="auto"/>
          <w:sz w:val="24"/>
        </w:rPr>
        <w:t>Tax Compliance</w:t>
      </w:r>
      <w:bookmarkEnd w:id="70"/>
      <w:bookmarkEnd w:id="71"/>
    </w:p>
    <w:bookmarkStart w:id="72" w:name="_Toc203285088"/>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2.6.1 </w:t>
      </w:r>
      <w:r>
        <w:rPr>
          <w:rFonts w:ascii="Times New Roman" w:cs="Times New Roman" w:hAnsi="Times New Roman"/>
          <w:b/>
          <w:bCs/>
          <w:sz w:val="24"/>
          <w:szCs w:val="24"/>
        </w:rPr>
        <w:t>Definition of tax Compliance</w:t>
      </w:r>
      <w:bookmarkEnd w:id="72"/>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According to James and Alley (2002), tax compliance refers to the willingness of individuals to act in accordance with both the spirit and the letter of the tax law and administration without the application of enforcement activity.</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Tax compliance is defined as the accurate reporting of income and claiming of expenses in accordance with stipulated tax laws. Thus, the failure of corporations to accurately report or pay tax is considered corporate tax non-compliance (Noor, Jeyapalan and Uchenna, 2014).</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 ability and willingness of taxpayers to abide by tax laws, which are influenced by morality, the legal system, and other contextual factors at a specific time and location, should be a broader definition of tax compliance (Kirchler, 2007). In short, tax compliance refers to the act of filing all required tax returns on time and accurately reporting the taxpayer's tax liability in compliance with the tax laws, regulations, and court rulings in effect at the time the return is filed (Roth, Scholz, and Witte 1989).</w:t>
      </w:r>
    </w:p>
    <w:bookmarkStart w:id="73" w:name="_Toc203285089"/>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2.6.2 </w:t>
      </w:r>
      <w:r>
        <w:rPr>
          <w:rFonts w:ascii="Times New Roman" w:cs="Times New Roman" w:hAnsi="Times New Roman"/>
          <w:b/>
          <w:bCs/>
          <w:sz w:val="24"/>
          <w:szCs w:val="24"/>
        </w:rPr>
        <w:t>Theoretical Approaches of Tax Compliance</w:t>
      </w:r>
      <w:bookmarkEnd w:id="73"/>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As Devos (2014) noted the main theoretical approaches to tax compliance have commonly been divided into the ‘economic deterrence’ approach, and the wider ‘behavioral’ approach which incorporates both social and fiscal psychological approaches.</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There are two broad approaches which researchers have used to explain evasion behavior, namely, Fiscal psychology Models and economic deterrence models (Trivedi &amp; Shehata, 2005). Economic based theory emphasizes in centives where a psychology based theories emphasize attitude (Trivedi &amp; Shehata, 2005).</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James, Hassel dine, Hite and Toumi (2001) reported that there are two main approaches to understand tax compliance issues: the economic approach and behavioral approach. The </w:t>
      </w:r>
      <w:r>
        <w:rPr>
          <w:rFonts w:ascii="Times New Roman" w:cs="Times New Roman" w:hAnsi="Times New Roman"/>
          <w:sz w:val="24"/>
          <w:szCs w:val="24"/>
        </w:rPr>
        <w:t>economic approach is premised on the concept of economic rationality, while the behavioral approach applies concepts from disciplines such as psychology and sociology.</w:t>
      </w:r>
    </w:p>
    <w:p>
      <w:pPr>
        <w:pStyle w:val="style0"/>
        <w:tabs>
          <w:tab w:val="left" w:leader="none" w:pos="7545"/>
        </w:tabs>
        <w:spacing w:lineRule="auto" w:line="360"/>
        <w:jc w:val="both"/>
        <w:rPr>
          <w:rFonts w:ascii="Times New Roman" w:cs="Times New Roman" w:hAnsi="Times New Roman"/>
          <w:b/>
          <w:bCs/>
          <w:iCs/>
          <w:sz w:val="24"/>
          <w:szCs w:val="24"/>
        </w:rPr>
      </w:pPr>
      <w:r>
        <w:rPr>
          <w:rFonts w:ascii="Times New Roman" w:cs="Times New Roman" w:hAnsi="Times New Roman"/>
          <w:b/>
          <w:bCs/>
          <w:iCs/>
          <w:sz w:val="24"/>
          <w:szCs w:val="24"/>
        </w:rPr>
        <w:t>2.6.2.1</w:t>
      </w:r>
      <w:r>
        <w:rPr>
          <w:rFonts w:ascii="Times New Roman" w:cs="Times New Roman" w:hAnsi="Times New Roman"/>
          <w:b/>
          <w:bCs/>
          <w:iCs/>
          <w:sz w:val="24"/>
          <w:szCs w:val="24"/>
        </w:rPr>
        <w:t>Economic Based Theories</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According to the economic deterrence theory, the tax rate determines the benefits of evasion, while the likelihood of being caught and the associated penalties for fraud determine the costs (Sandmo, 1972). Economic factors, also known as deterrence theory, in relation to tax compliance refer to actions that are associated with the costs and benefits of performing the actions (tax rates, tax audits, and perceptions of government spending) (Loo, 2006).</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According to Trivedi and Shehata (2005), economic theories suggest that taxpayers “play the audit lottery,” i.e. they make calculations of the economic consequences of different compliant alternative, such as whether or not to evade tax; the probability of detection and consequences thereof, and choose the alternative which maximizes their expected after tax- return/profit (possibly after adjustment for the desired level of risk).</w:t>
      </w:r>
    </w:p>
    <w:p>
      <w:pPr>
        <w:pStyle w:val="style0"/>
        <w:tabs>
          <w:tab w:val="left" w:leader="none" w:pos="7545"/>
        </w:tabs>
        <w:spacing w:lineRule="auto" w:line="360"/>
        <w:jc w:val="both"/>
        <w:rPr>
          <w:rFonts w:ascii="Times New Roman" w:cs="Times New Roman" w:hAnsi="Times New Roman"/>
          <w:b/>
          <w:bCs/>
          <w:iCs/>
          <w:sz w:val="24"/>
          <w:szCs w:val="24"/>
        </w:rPr>
      </w:pPr>
      <w:r>
        <w:rPr>
          <w:rFonts w:ascii="Times New Roman" w:cs="Times New Roman" w:hAnsi="Times New Roman"/>
          <w:b/>
          <w:bCs/>
          <w:iCs/>
          <w:sz w:val="24"/>
          <w:szCs w:val="24"/>
        </w:rPr>
        <w:t xml:space="preserve">2.6.2.2 </w:t>
      </w:r>
      <w:r>
        <w:rPr>
          <w:rFonts w:ascii="Times New Roman" w:cs="Times New Roman" w:hAnsi="Times New Roman"/>
          <w:b/>
          <w:bCs/>
          <w:iCs/>
          <w:sz w:val="24"/>
          <w:szCs w:val="24"/>
        </w:rPr>
        <w:t>Psychology Theories</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Moral values and the sense of justice surrounding the tax system and tax authorities are among the psychological variables that are the focus of the social/fiscal psychological model (Devos, 2014). The social psychology model, as mentioned by Yesegat and Fjeldstad (2016), addresses the connection between tax compliance and social interactions and conventions as opposed to the economic deterrence model. According to one part of this theory, an individual's peer groups' actions may have an impact on their opinions and attitudes regarding the tax system as well as their compliance behavior. It is anticipated that peer group compliance friends, neighbors, and family will influence others' perceptions and choices regarding compliance. More precisely, noncompliant choices made by peer groups may lower other people's tax compliance levels.</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According to Trivedi and Shehata (2005) Psychology theories of tax compliance assume that psychological factors including moral and ethical concerns are also important to tax payers and tax payers may comp lay even when the risk of audit is low. As it is noted their Psychology </w:t>
      </w:r>
      <w:r>
        <w:rPr>
          <w:rFonts w:ascii="Times New Roman" w:cs="Times New Roman" w:hAnsi="Times New Roman"/>
          <w:sz w:val="24"/>
          <w:szCs w:val="24"/>
        </w:rPr>
        <w:t>studies deemphasizes audits and penalties and in steed focus on changing individual attitudes towards tax system.</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Compliance is also affected by demographic factors. For instance, there may be differences in perception about taxation between age groups, urban rural location, gender, education levels, occupation, ethnicity, religion, and so on (Fjeldstad et al. 2012).</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Social, economic, and psychological factors are among the categories of factors that academics have identified (Jackson and Millron, 1986; Fischer, Wartick &amp; Mark, 1992; Fischer, 1993; Alm, 1999; Kirchler, 2007; Devos, 2008). Understanding the elements that affect tax compliance is crucial for persuading individual taxpayers to abide by the tax laws' provisions and resolving non-compliance issues. The early researches on tax compliance were more of economic factors inclined and which they paid attention to tax rate, penalty and detection probability as the main determinants of the tax payers’ compliance behavior (Allingham &amp; Sandmo, 1972).</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Recentstudieshaveidentifiedsomenewfactorsthathavesignificantinfluenceonthetaxpayers’ decision making; and these new factors were the social and psychological factors, which the following studies were known to incorporate the identified factors (Jackson &amp; Millron, 1986; Fischer, 1993; Wenzel, 2004; Jabbar, 2009).</w:t>
      </w:r>
    </w:p>
    <w:bookmarkStart w:id="74" w:name="_Toc203285090"/>
    <w:bookmarkStart w:id="75" w:name="_Toc204249777"/>
    <w:p>
      <w:pPr>
        <w:pStyle w:val="style3"/>
        <w:rPr>
          <w:rFonts w:ascii="Times New Roman" w:cs="Times New Roman" w:hAnsi="Times New Roman"/>
          <w:color w:val="auto"/>
        </w:rPr>
      </w:pPr>
      <w:r>
        <w:rPr>
          <w:rFonts w:ascii="Times New Roman" w:cs="Times New Roman" w:hAnsi="Times New Roman"/>
          <w:color w:val="auto"/>
        </w:rPr>
        <w:t xml:space="preserve">2.7. </w:t>
      </w:r>
      <w:r>
        <w:rPr>
          <w:rFonts w:ascii="Times New Roman" w:cs="Times New Roman" w:hAnsi="Times New Roman"/>
          <w:color w:val="auto"/>
        </w:rPr>
        <w:t>Determinants of tax compliance</w:t>
      </w:r>
      <w:bookmarkEnd w:id="74"/>
      <w:bookmarkEnd w:id="75"/>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From a social perspective, factors influencing tax compliance include taxpayers' willingness to abide by the law in reaction to the actions of others and their social surroundings (i.e. e. the authorities, close friends, and relatives) (Torgler, 2007). However, Kirchler (2007) argued that social factors including taxpayer psychology should be seen from a wider angle than Torgler's point of view. </w:t>
      </w:r>
      <w:r>
        <w:rPr>
          <w:rFonts w:ascii="Times New Roman" w:cs="Times New Roman" w:hAnsi="Times New Roman"/>
          <w:sz w:val="24"/>
          <w:szCs w:val="24"/>
        </w:rPr>
        <w:t>in</w:t>
      </w:r>
      <w:r>
        <w:rPr>
          <w:rFonts w:ascii="Times New Roman" w:cs="Times New Roman" w:hAnsi="Times New Roman"/>
          <w:sz w:val="24"/>
          <w:szCs w:val="24"/>
        </w:rPr>
        <w:t xml:space="preserve"> a previous review of tax compliance studies.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Jackson and Milliron (1986) identified fourteen critical variables of compliance behavior: age, gender, education, income level, income source, occupation, peer influence, ethics, fairness, complexity, and contact with tax authorities, sanctions, likelihood of detection, and tax rates.</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Previous studies revealed that probability of being audited; perception on government spending; perception on equity and fairness of the tax system; penalties; financial constraint; changes on </w:t>
      </w:r>
      <w:r>
        <w:rPr>
          <w:rFonts w:ascii="Times New Roman" w:cs="Times New Roman" w:hAnsi="Times New Roman"/>
          <w:sz w:val="24"/>
          <w:szCs w:val="24"/>
        </w:rPr>
        <w:t>current government policies; and referral group (friends, relatives etc.) are also important factors in assessing tax compliance behavior (Palil,2010; Troutman,1993; Chan et al, 2000).</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Based on an interdisciplinary perspective that offers a broader perspective of tax compliance determinants than other researchers, Kirchler (2007) and Loo (2006) classify tax compliance determinants into four categories. The factors fall into three categories namely social factors (ethics and attitude, perceptions of equity and fairness, political affiliation and changes on current government policy, referent groups); institutional factors (the role of the tax authority, simplicity of the tax returns and administration, and probability of detection); and individual factors (personal financial constraints, awareness of offences and penalties).</w:t>
      </w:r>
    </w:p>
    <w:bookmarkStart w:id="76" w:name="_Toc203285091"/>
    <w:bookmarkStart w:id="77" w:name="_Toc204249778"/>
    <w:p>
      <w:pPr>
        <w:pStyle w:val="style3"/>
        <w:rPr>
          <w:rFonts w:ascii="Times New Roman" w:cs="Times New Roman" w:hAnsi="Times New Roman"/>
          <w:color w:val="auto"/>
          <w:sz w:val="24"/>
        </w:rPr>
      </w:pPr>
      <w:r>
        <w:rPr>
          <w:rFonts w:ascii="Times New Roman" w:cs="Times New Roman" w:hAnsi="Times New Roman"/>
          <w:color w:val="auto"/>
          <w:sz w:val="24"/>
        </w:rPr>
        <w:t xml:space="preserve">2.8. </w:t>
      </w:r>
      <w:r>
        <w:rPr>
          <w:rFonts w:ascii="Times New Roman" w:cs="Times New Roman" w:hAnsi="Times New Roman"/>
          <w:color w:val="auto"/>
          <w:sz w:val="24"/>
        </w:rPr>
        <w:t>Tax Audit</w:t>
      </w:r>
      <w:bookmarkEnd w:id="76"/>
      <w:bookmarkEnd w:id="77"/>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Audit rates and the thoroughness of the audits could encourage taxpayers to be more prudent in completing their tax returns, report all income and claim the correct deductions to ascertain their tax liability. In contrast, taxpayers who have never been audited might be tempted to underreport their actual income and claim false deductions (Mohd et al., (2011).</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Jacksonand Jaouen, (1989), Shanmugam, (2003), Dubin, (2004) in their findings suggests that in self-assessment systems, tax audits can play an important role and their central role is to increase voluntary compliance.</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Friedland et al., (1978) found that a higher (random) audit rate leads to more compliance. However Alm et al., (1992) find that this impact appears to be small and nonlinear, so that the deterrent effect of a higher audit rate eventually disappears. They also find that many subjects appear to substantially overweight the probability of an audit, so that there is far more compliance than is predicted by expected theory.</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Previous studies have evidenced that tax audits play an important role in increasing voluntary compliance. For instance Butler (1993) and Witte and Woodbury (198) found that audits rates and the thoroughness of the audits could potentially encourage taxpayers to be more prudent in completing their tax returns.</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 perception of audit probability was found to have a statistically significant association with compliance attitude (Yesegat and Fjeldstad, 2016).</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 Ethiopian government is currently implementing a number of initiatives that should improve the revenue authorities' administrative capabilities, such as ongoing capacity-building programs in a number of fields, including audit. Additionally, actions are being taken against tax officials who may be involved in corruption. These and related actions are probably going to have an impact on how taxpayers perceive tax audits (Yesegat and Fjeldstad, 2016).</w:t>
      </w:r>
    </w:p>
    <w:bookmarkStart w:id="78" w:name="_Toc203285092"/>
    <w:bookmarkStart w:id="79" w:name="_Toc204249779"/>
    <w:p>
      <w:pPr>
        <w:pStyle w:val="style3"/>
        <w:rPr>
          <w:rFonts w:ascii="Times New Roman" w:cs="Times New Roman" w:hAnsi="Times New Roman"/>
          <w:color w:val="auto"/>
          <w:sz w:val="24"/>
        </w:rPr>
      </w:pPr>
      <w:r>
        <w:rPr>
          <w:rFonts w:ascii="Times New Roman" w:cs="Times New Roman" w:hAnsi="Times New Roman"/>
          <w:color w:val="auto"/>
          <w:sz w:val="24"/>
        </w:rPr>
        <w:t xml:space="preserve">2.9. </w:t>
      </w:r>
      <w:r>
        <w:rPr>
          <w:rFonts w:ascii="Times New Roman" w:cs="Times New Roman" w:hAnsi="Times New Roman"/>
          <w:color w:val="auto"/>
          <w:sz w:val="24"/>
        </w:rPr>
        <w:t>Change son current government policy</w:t>
      </w:r>
      <w:bookmarkEnd w:id="78"/>
      <w:bookmarkEnd w:id="79"/>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A nation's political climate and the party in power may have a big impact on how people behave when it comes to tax evasion. For example, if someone supports the party that is currently in power, he may decide to comply because he thinks the government is reliable, effective, and fair. On the other hand, a taxpayer who belongs to the opposition party may exhibit greater noncompliance due to their belief that the government is not supporting them. Hasseldine and Hite (2003) looked at attribute framing and political party affiliation as two possible factors influencing taxpaying attitudes. Given that political inclinations can impact tax attitudes.</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Hasseldine and Hite (2003) concluded that firstly, political party affiliation has a significant impaction tax payers ’behavior; secondly, the more closely identified the tax provision is to a</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Specific party, the more favorably it will be received by members of that party relative to taxpayers with other political party affiliations.</w:t>
      </w:r>
    </w:p>
    <w:bookmarkStart w:id="80" w:name="_Toc203285093"/>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2.9.1 </w:t>
      </w:r>
      <w:r>
        <w:rPr>
          <w:rFonts w:ascii="Times New Roman" w:cs="Times New Roman" w:hAnsi="Times New Roman"/>
          <w:b/>
          <w:bCs/>
          <w:sz w:val="24"/>
          <w:szCs w:val="24"/>
        </w:rPr>
        <w:t>Referent group</w:t>
      </w:r>
      <w:bookmarkEnd w:id="80"/>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Studies on tax compliance have demonstrated the potential significance of friends' and family's decision-making influence. Sometimes, friends or family can have an impact on a decision to avoid paying taxes or not. </w:t>
      </w:r>
      <w:r>
        <w:rPr>
          <w:rFonts w:ascii="Times New Roman" w:cs="Times New Roman" w:hAnsi="Times New Roman"/>
          <w:sz w:val="24"/>
          <w:szCs w:val="24"/>
        </w:rPr>
        <w:t>e</w:t>
      </w:r>
      <w:r>
        <w:rPr>
          <w:rFonts w:ascii="Times New Roman" w:cs="Times New Roman" w:hAnsi="Times New Roman"/>
          <w:sz w:val="24"/>
          <w:szCs w:val="24"/>
        </w:rPr>
        <w:t>. according to Allingham and Sandmo (1972), even though this study's findings did not make clear how much of an impact there was. Although it was also unclear in this paper which referent group was stronger friends or family Clotfelter (1983) also asserted that referent groups are important in evasion. According to Hasseldine, Kaplan, and Fuller (1994), the number of evaders that the respondent was aware of had the biggest impact on the model of underreporting income. This implies that the greater the likelihood of underreporting income, the more respondents may be aware of the evaders.</w:t>
      </w:r>
    </w:p>
    <w:bookmarkStart w:id="81" w:name="_Toc203285094"/>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2.9.2 </w:t>
      </w:r>
      <w:r>
        <w:rPr>
          <w:rFonts w:ascii="Times New Roman" w:cs="Times New Roman" w:hAnsi="Times New Roman"/>
          <w:b/>
          <w:bCs/>
          <w:sz w:val="24"/>
          <w:szCs w:val="24"/>
        </w:rPr>
        <w:t>Personal financial constraint</w:t>
      </w:r>
      <w:bookmarkEnd w:id="81"/>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Mohani and Sheehan (2004) and Mohani (2001) reported that Personal financial constraints are believed to have an impact on tax evasion as financial distress faced by an individual may encourage him to prioritize what has to be paid first as basic survival needs (foods, clothing, housing etc.) or where immediate demand on limited income is enforced (i.e. perceived threat of action from money lenders etc.) rather than tax liabilities. According to the studies people who face personal financial problems are likely to be more prone to evade tax when compared to people in less financial distress.</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Conversely, however Vogel (1974) and Warneryd and Walerud (1982) illustrate that people with no financial distress also exercise tax evasion and surprisingly, the level of evasion they exhibit can be more serious than people in financial distress. </w:t>
      </w:r>
      <w:r>
        <w:rPr>
          <w:rFonts w:ascii="Times New Roman" w:cs="Times New Roman" w:hAnsi="Times New Roman"/>
          <w:sz w:val="24"/>
          <w:szCs w:val="24"/>
        </w:rPr>
        <w:t>Vogel(</w:t>
      </w:r>
      <w:r>
        <w:rPr>
          <w:rFonts w:ascii="Times New Roman" w:cs="Times New Roman" w:hAnsi="Times New Roman"/>
          <w:sz w:val="24"/>
          <w:szCs w:val="24"/>
        </w:rPr>
        <w:t>1974) presumed that this situation is related to economic status rather than personal conditions.</w:t>
      </w:r>
    </w:p>
    <w:bookmarkStart w:id="82" w:name="_Toc203285095"/>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2.9.3 </w:t>
      </w:r>
      <w:r>
        <w:rPr>
          <w:rFonts w:ascii="Times New Roman" w:cs="Times New Roman" w:hAnsi="Times New Roman"/>
          <w:b/>
          <w:bCs/>
          <w:sz w:val="24"/>
          <w:szCs w:val="24"/>
        </w:rPr>
        <w:t>Tax Knowledge</w:t>
      </w:r>
      <w:bookmarkEnd w:id="82"/>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 researches illustrated the importance of tax knowledge in a tax system for example; Eriksen and Fallan (1996), Mohamad Ali ET. al</w:t>
      </w:r>
      <w:r>
        <w:rPr>
          <w:rFonts w:ascii="Times New Roman" w:cs="Times New Roman" w:hAnsi="Times New Roman"/>
          <w:sz w:val="24"/>
          <w:szCs w:val="24"/>
        </w:rPr>
        <w:t>.(</w:t>
      </w:r>
      <w:r>
        <w:rPr>
          <w:rFonts w:ascii="Times New Roman" w:cs="Times New Roman" w:hAnsi="Times New Roman"/>
          <w:sz w:val="24"/>
          <w:szCs w:val="24"/>
        </w:rPr>
        <w:t>2007), Singh, (2003). Eriksen and Fallan (1996) claimed that ‘knowledge about tax law is assumed to be important for preferences and attitudes towards taxation. In their 2007 study, Mohamed et al. split tax knowledge into two categories: knowledge obtained through formal education and knowledge specifically aimed at potential tax evasion opportunities. This allows them to analyze the impact of tax knowledge on compliance behavior. Study result indicated that, regarding the rules and regulation of the taxation, the level of education received by taxpayer’ is an important factor that contributes to the general understanding. Mohd (2010) presents taxation knowledge is necessary to increase public awareness especially in areas concerning taxation laws, the role of tax in national development, and especially to explain how and where the money collected is spent by the government. Eriksen and Fallan (1996) suggested that a taxpayer should be given better tax knowledge to improve perceptions of fairness, tax ethics and attitudes to others tax evasion and thus suggesting that a successful means of preventing tax evasion is to provide more tax knowledge to larger segment of society in order to improve tax .</w:t>
      </w:r>
    </w:p>
    <w:bookmarkStart w:id="83" w:name="_Toc203285096"/>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2.9.4 </w:t>
      </w:r>
      <w:r>
        <w:rPr>
          <w:rFonts w:ascii="Times New Roman" w:cs="Times New Roman" w:hAnsi="Times New Roman"/>
          <w:b/>
          <w:bCs/>
          <w:sz w:val="24"/>
          <w:szCs w:val="24"/>
        </w:rPr>
        <w:t>Awareness of offences and penalty</w:t>
      </w:r>
      <w:bookmarkEnd w:id="83"/>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Theoretical economic model introduced by Allingham and Sandmo (1972) has clearly indicated that penalties as well as audit probability have an impact on tax compliance. Various arguments arise regarding the impact offense and penalties on tax compliance to explain this lack of a clear impact relationship. For example, fines that are tool would be perceived as an indicator that the authorities are weak and unable to control non-compliant taxpayers, thereby undermining trust among honest taxpayers and leading to a lack of encouragement to comply with tax law. Paul &amp; Osebe (2014) employed in their study that fines and penalties play a vital role in improving tax compliance. Specifically, for a tax system with fair tax rates of fines and penalties, tax compliance is likely to be improved.</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Higher fines simply make evading taxes more hazardous for taxpayers and should deter from evasion. Empirically the deterrent effect of fines could not always be supported. The observed effects were weaker than expected and some studies even suggest that an increase of penalty can have undesirable effect and result in more tax avoidance (Kirchler et al, 2007). Virman (1989) indicated that penalty rates had a positive association with evasion, meaning that higher rates did indeed encourage people to cheat.</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Fines and audit rates may substitute each other due to their multiplicative linkage as long as neither of them is set to zero (Kirchler et.al 2007). The most extreme penalties will have no effect, if it is common knowledge that audits virtually do not occur. The increasing tax avoidance and tax resistance due to an increase of fines puts into question how fines should be assessed to be effective. On the one hand fines should be high enough to decrease the expected value of tax evasion and to assure its deterrent effect on tax payers. On the other hand, if fines are too high, the tax system would be perceived as unjust and unfair and taxpayers would use any possibility to legally avoid taxes (Kirchler et al., 2007).</w:t>
      </w:r>
    </w:p>
    <w:bookmarkStart w:id="84" w:name="_Toc203285097"/>
    <w:p>
      <w:pPr>
        <w:pStyle w:val="style179"/>
        <w:numPr>
          <w:ilvl w:val="0"/>
          <w:numId w:val="2"/>
        </w:numPr>
        <w:rPr>
          <w:rFonts w:ascii="Times New Roman" w:cs="Times New Roman" w:hAnsi="Times New Roman"/>
          <w:b/>
        </w:rPr>
      </w:pPr>
      <w:r>
        <w:rPr>
          <w:rFonts w:ascii="Times New Roman" w:cs="Times New Roman" w:hAnsi="Times New Roman"/>
          <w:b/>
        </w:rPr>
        <w:t>Age</w:t>
      </w:r>
      <w:bookmarkEnd w:id="84"/>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Demographic factors such as age have long been studied by researchers; however the findings from different studies remain inconclusive. For example Tittle (1980), Warneryd and Walerud (1982) and Wahlund (1982) posit a negative association i.e older people are less compliant. In contrast, Clotfelter (1983), Dubin and Wilde (1986) and Beron </w:t>
      </w:r>
      <w:r>
        <w:rPr>
          <w:rFonts w:ascii="Times New Roman" w:cs="Times New Roman" w:hAnsi="Times New Roman"/>
          <w:sz w:val="24"/>
          <w:szCs w:val="24"/>
        </w:rPr>
        <w:t>eT</w:t>
      </w:r>
      <w:r>
        <w:rPr>
          <w:rFonts w:ascii="Times New Roman" w:cs="Times New Roman" w:hAnsi="Times New Roman"/>
          <w:sz w:val="24"/>
          <w:szCs w:val="24"/>
        </w:rPr>
        <w:t xml:space="preserve">. al. (1992) argued that age was positively related with compliance. However, there have been a significant number of studies </w:t>
      </w:r>
      <w:r>
        <w:rPr>
          <w:rFonts w:ascii="Times New Roman" w:cs="Times New Roman" w:hAnsi="Times New Roman"/>
          <w:sz w:val="24"/>
          <w:szCs w:val="24"/>
        </w:rPr>
        <w:t>that have found no relationship between age and tax compliance (Spicer and Lundstedt, 1976), Spicer and Becker, 1980) and Porcano, (1988).</w:t>
      </w:r>
    </w:p>
    <w:bookmarkStart w:id="85" w:name="_Toc203285098"/>
    <w:p>
      <w:pPr>
        <w:pStyle w:val="style179"/>
        <w:numPr>
          <w:ilvl w:val="0"/>
          <w:numId w:val="2"/>
        </w:numPr>
        <w:rPr>
          <w:rFonts w:ascii="Times New Roman" w:cs="Times New Roman" w:hAnsi="Times New Roman"/>
          <w:b/>
          <w:sz w:val="24"/>
        </w:rPr>
      </w:pPr>
      <w:r>
        <w:rPr>
          <w:rFonts w:ascii="Times New Roman" w:cs="Times New Roman" w:hAnsi="Times New Roman"/>
          <w:b/>
          <w:sz w:val="24"/>
        </w:rPr>
        <w:t>Gender</w:t>
      </w:r>
      <w:bookmarkEnd w:id="85"/>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 association between gender and tax compliance has received some attention in prior literature however, findings vary across studies. Some studies found that males are more</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Compliant but others found the other way around. Vogel (1974), Kinsey and Grasmick (1993), and Tittle (1980) founds in their study that males are more compliant while Friedland, et.al. (1978), Hassel dine and Hit (2003) and Mohamad Ali (2007) explained that females are more compliant than males. The impact of gender on tax compliance is in consistent and recent studies by Richards on (2008) continue to find no association between gender and compliance.</w:t>
      </w:r>
    </w:p>
    <w:bookmarkStart w:id="86" w:name="_Toc203285099"/>
    <w:p>
      <w:pPr>
        <w:pStyle w:val="style179"/>
        <w:numPr>
          <w:ilvl w:val="0"/>
          <w:numId w:val="2"/>
        </w:numPr>
        <w:rPr>
          <w:rFonts w:ascii="Times New Roman" w:cs="Times New Roman" w:hAnsi="Times New Roman"/>
          <w:b/>
          <w:sz w:val="24"/>
        </w:rPr>
      </w:pPr>
      <w:r>
        <w:rPr>
          <w:rFonts w:ascii="Times New Roman" w:cs="Times New Roman" w:hAnsi="Times New Roman"/>
          <w:b/>
          <w:sz w:val="24"/>
        </w:rPr>
        <w:t>Education</w:t>
      </w:r>
      <w:bookmarkEnd w:id="86"/>
    </w:p>
    <w:bookmarkStart w:id="87" w:name="_Toc182353761"/>
    <w:bookmarkStart w:id="88" w:name="_Toc182354765"/>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Chan ET. al. (2000) asserts that a higher likelihood of compliance is directly correlated with education. The argument posits that although educated taxpayers may be aware of opportunities for non-compliance, their enhanced moral development and potential comprehension of the tax system foster a more positive attitude among taxpayers, ultimately leading to higher compliance.</w:t>
      </w:r>
      <w:bookmarkEnd w:id="87"/>
      <w:bookmarkEnd w:id="88"/>
      <w:r>
        <w:rPr>
          <w:rFonts w:ascii="Times New Roman" w:cs="Times New Roman" w:hAnsi="Times New Roman"/>
          <w:sz w:val="24"/>
          <w:szCs w:val="24"/>
        </w:rPr>
        <w:t> </w:t>
      </w:r>
      <w:bookmarkStart w:id="89" w:name="_Toc182353762"/>
      <w:bookmarkStart w:id="90" w:name="_Toc182354766"/>
      <w:r>
        <w:rPr>
          <w:rFonts w:ascii="Times New Roman" w:cs="Times New Roman" w:hAnsi="Times New Roman"/>
          <w:sz w:val="24"/>
          <w:szCs w:val="24"/>
        </w:rPr>
        <w:t>Assuring taxpayers of a minimum degree of qualifications, ability, and confidence to fulfill their tax responsibilities is one way to promote voluntary compliance, according to Mohani (2001).</w:t>
      </w:r>
      <w:bookmarkEnd w:id="89"/>
      <w:bookmarkEnd w:id="90"/>
    </w:p>
    <w:bookmarkStart w:id="91" w:name="_Toc203285100"/>
    <w:p>
      <w:pPr>
        <w:pStyle w:val="style179"/>
        <w:numPr>
          <w:ilvl w:val="0"/>
          <w:numId w:val="2"/>
        </w:numPr>
        <w:rPr>
          <w:rFonts w:ascii="Times New Roman" w:cs="Times New Roman" w:hAnsi="Times New Roman"/>
          <w:b/>
          <w:sz w:val="24"/>
        </w:rPr>
      </w:pPr>
      <w:r>
        <w:rPr>
          <w:rFonts w:ascii="Times New Roman" w:cs="Times New Roman" w:hAnsi="Times New Roman"/>
          <w:b/>
          <w:sz w:val="24"/>
        </w:rPr>
        <w:t>Level of Income and Compliance</w:t>
      </w:r>
      <w:bookmarkEnd w:id="91"/>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standard economic model makes unclear predictions about how income affects tax compliance. Richer people are more likely to avoid paying taxes because absolute risk aversion declines with income, but it's unclear if the severity of evasion increases or decreases with income (Kirchler et al. 2007). Relative risk aversion determines the extent of underreporting once taxpayers have made the decision to avoid paying taxes. Given that there is no special relationship between income and relative risk aversion, Allingham and Sandom (1972) came to the conclusion that when actual income fluctuates, the fraction of income declared either rises or falls, because relative risk aversion is a function of income that increases, stays constant, or decreases. Chau and Leung </w:t>
      </w:r>
      <w:r>
        <w:rPr>
          <w:rFonts w:ascii="Times New Roman" w:cs="Times New Roman" w:hAnsi="Times New Roman"/>
          <w:sz w:val="24"/>
          <w:szCs w:val="24"/>
        </w:rPr>
        <w:t>(2009) also found that respondents in the lower income group tended to be less compliant with tax laws by underreporting income and over claiming expenses compared to their counterparts in the higher income group.</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Jackson B. R (1986) discovered that the relationship between income level and compliance is nuanced and ambiguous, and some subsequent research supports this finding. </w:t>
      </w:r>
      <w:r>
        <w:rPr>
          <w:rFonts w:ascii="Times New Roman" w:cs="Times New Roman" w:hAnsi="Times New Roman"/>
          <w:sz w:val="24"/>
          <w:szCs w:val="24"/>
        </w:rPr>
        <w:t>Even so, Jackson B.</w:t>
      </w:r>
      <w:r>
        <w:rPr>
          <w:rFonts w:ascii="Times New Roman" w:cs="Times New Roman" w:hAnsi="Times New Roman"/>
          <w:sz w:val="24"/>
          <w:szCs w:val="24"/>
        </w:rPr>
        <w:t> Although the source (RDOT, 1986) was not made explicit, it is assumed that the disparate results could be attributed to endogenous tax laws in different nations. Because the higher income group's taxable income and tax rates are higher than those of the lower income group, their tax liabilities are significantly higher. As a result, progressive tax rates may incentivize them to evade taxes rather than the lower income group. Higher income groups tend to evade more in a nation where income redistribution is unsatisfactory (Mohani A. 2001), as the wealthy individual may feel deceived and treated unfairly.</w:t>
      </w:r>
    </w:p>
    <w:bookmarkStart w:id="92" w:name="_Toc203285101"/>
    <w:bookmarkStart w:id="93" w:name="_Toc204249780"/>
    <w:p>
      <w:pPr>
        <w:pStyle w:val="style3"/>
        <w:rPr>
          <w:rFonts w:ascii="Times New Roman" w:cs="Times New Roman" w:hAnsi="Times New Roman"/>
          <w:color w:val="auto"/>
          <w:sz w:val="24"/>
        </w:rPr>
      </w:pPr>
      <w:r>
        <w:rPr>
          <w:rFonts w:ascii="Times New Roman" w:cs="Times New Roman" w:hAnsi="Times New Roman"/>
          <w:color w:val="auto"/>
          <w:sz w:val="24"/>
        </w:rPr>
        <w:t xml:space="preserve">2.10. </w:t>
      </w:r>
      <w:r>
        <w:rPr>
          <w:rFonts w:ascii="Times New Roman" w:cs="Times New Roman" w:hAnsi="Times New Roman"/>
          <w:color w:val="auto"/>
          <w:sz w:val="24"/>
        </w:rPr>
        <w:t>Empirical Studies and Knowledge Gap</w:t>
      </w:r>
      <w:bookmarkEnd w:id="92"/>
      <w:bookmarkEnd w:id="93"/>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Using a survey approach to gather data, Fjeldstad et al. (2012) investigate the variables influencing tax compliance behavior among citizens in Kenya, Tanzania, Uganda, and South Africa. According to the results of the probity regression, people are more likely to have a tax-compliant attitude if they believe that enforcement in South Africa and Kenya makes tax evasion more difficult. This is consistent with the standard economic theory of deterrence's recommendation. Additionally, the analysis reveals evidence that supports some aspects of the fiscal exchange theory: in all four countries, people who are happier with public service delivery are more likely to accept the government's right to tax. The relationship between tax compliance attitude and public service provision varies by country and depends on the particular service in question.</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Noor Sharoza (2014) studied the factors that influence taxpayer compliance with regard to Malaysia's corporate income tax reporting regulations. A researcher collected data using a questionnaire survey method. The study's conclusions show that the likelihood of tax non-compliance behavior, including under reporting income, over claiming expenses, and overall non-compliance, is consistently influenced by business age, tax liability, and tax complexity. However, there is little correlation between corporate taxpayers' non-compliance and the costs associated with tax compliance. In Mekelle-City, Ethiopia, Taddese and Goitom (2014) </w:t>
      </w:r>
      <w:r>
        <w:rPr>
          <w:rFonts w:ascii="Times New Roman" w:cs="Times New Roman" w:hAnsi="Times New Roman"/>
          <w:sz w:val="24"/>
          <w:szCs w:val="24"/>
        </w:rPr>
        <w:t>investigated the factors influencing taxpayers' compliance with the tax system. A cross-sectional survey method of research design was employed in the study. An ordered probit was used to investigate the factors influencing tax compliance in Mekelle-city Ethiopia, using the scaled ranking data of the dependent variable (tax compliance). The study's findings from the poll of 102 participants in Mekelle show that the likelihood of an audit, financial limitations, and shifts in governmental regulations all had an impact on tax compliance. Additional variables that were not significantly correlated with tax compliance at the time of the study included penalties, tax knowledge, perceptions of government spending, equity and fairness, and roles of the tax authority.</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Tilahun and Yidersal (2014) lookedinto the factors influencing tax compliance behavior in Ethiopia. Specifically, they looked at the factors influencing Bahir Dar city administration's tax compliance behavior using a one-way ANOVA, two samples, and a one sample T-test. There was a structured questionnaire used to gather the data. The findings showed how people felt about government spending, how fair and equitable the tax system was perceived, how penalties affected people's finances, how current government policies were changed, and who they turned to for advice friends, relatives, etc.) Are elements that have a big impact on tax compliance behavior? Gender and the likelihood of an audit, however, have no appreciable influence on tax compliance behavior. Lastly, the results demonstrate that older citizens will comply less if the tax system lacks equity and fairness and if negative changes are made with government policy regarding fuel prices, electricity rates, and water rates. Yesegat &amp;Fjeldstad (2016) looked at a number of variables that affect Ethiopian business people’s perceptions of tax payment.</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study finds statistically significant relationship between the attitude toward tax compliance and variables like the perception of the likelihood of an audit, corruption, satisfaction with the tax administration, peer influence, gender, and education. The relationship is based on data gathered from a survey of business taxpayers in Addis Ababa. The study highlights the need for a deeper comprehension of the reasons behind taxpayers' dissatisfaction with the tax administration, including their perceptions of dishonest behavior. Akalu (2016) carried out a study on the factors influencing large corporate taxpayers in Ethiopia's tax compliance behavior. The primary and secondary sources of the data needed for this study were gathered. Through focus groups and researcher-administered questionnaire surveys, primary data were </w:t>
      </w:r>
      <w:r>
        <w:rPr>
          <w:rFonts w:ascii="Times New Roman" w:cs="Times New Roman" w:hAnsi="Times New Roman"/>
          <w:sz w:val="24"/>
          <w:szCs w:val="24"/>
        </w:rPr>
        <w:t>directly gathered from taxpayers. Secondary data gathered from published articles, tax journals, and pertinent legislation passed in relation to the subject. Furthermore, the investigator employed the firsthand knowledge he acquired from his employment at ERCA. The findings showed that the likelihood of tax non-compliance behavior in the areas of underreporting income, over claiming expenses, and overall non-compliance is consistently influenced by business size, business age, and tax psychological cost. Never the less, the business sector, the complexity of taxes, and the equity of the tax system.</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Studies have been conducted in different parts of Ethiopia to asses determinants of tax compliance targeting a specific group of tax payers .However, the models used and results of those studies were not consistent which a researcher consider it as a gap in this field. Culture is considered to be a powerful environmental factor that affects the tax </w:t>
      </w:r>
      <w:r>
        <w:rPr>
          <w:rFonts w:ascii="Times New Roman" w:cs="Times New Roman" w:hAnsi="Times New Roman"/>
          <w:sz w:val="24"/>
          <w:szCs w:val="24"/>
        </w:rPr>
        <w:t>payers</w:t>
      </w:r>
      <w:r>
        <w:rPr>
          <w:rFonts w:ascii="Times New Roman" w:cs="Times New Roman" w:hAnsi="Times New Roman"/>
          <w:sz w:val="24"/>
          <w:szCs w:val="24"/>
        </w:rPr>
        <w:t xml:space="preserve"> compliance. Different social norms and ethical values will create different incentives for tax compliance (Chau and Leung, 2009).</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A study byYesegat and Fjeldstad, (2016) on business people’s attitudes towards paying taxes in Ethiopian corporate government services; perception of tax rates, penalty and audit; perception of others/peer compliance; perception of government treatment of taxpayers (perception of discrimination by the tax administration); trust in the administration; satisfaction with the tax administrative. However, this particular study gives emphasis on institutional factors rather than individual factors. In addition, as it is compared to studies in other developing countries, researches on determinants of tax compliance are very limited in Ethiopia which needs further investigation to eliminate noncompliance behavior.</w:t>
      </w:r>
    </w:p>
    <w:bookmarkStart w:id="94" w:name="_Toc165432037"/>
    <w:bookmarkStart w:id="95" w:name="_Toc203285102"/>
    <w:bookmarkStart w:id="96" w:name="_Toc204249781"/>
    <w:p>
      <w:pPr>
        <w:pStyle w:val="style3"/>
        <w:rPr>
          <w:rFonts w:ascii="Times New Roman" w:cs="Times New Roman" w:hAnsi="Times New Roman"/>
          <w:color w:val="auto"/>
        </w:rPr>
      </w:pPr>
      <w:r>
        <w:rPr>
          <w:rFonts w:ascii="Times New Roman" w:cs="Times New Roman" w:hAnsi="Times New Roman"/>
          <w:color w:val="auto"/>
        </w:rPr>
        <w:t xml:space="preserve">2.11. </w:t>
      </w:r>
      <w:r>
        <w:rPr>
          <w:rFonts w:ascii="Times New Roman" w:cs="Times New Roman" w:hAnsi="Times New Roman"/>
          <w:color w:val="auto"/>
        </w:rPr>
        <w:t>Conceptual framework</w:t>
      </w:r>
      <w:bookmarkEnd w:id="94"/>
      <w:bookmarkEnd w:id="95"/>
      <w:bookmarkEnd w:id="96"/>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Based on the overall review of related literature and the theoretical framework, the following conceptual framework in which this specific study could be governed has been presented.  As explained in the literature, voluntary tax compliance has a significant relationship between influences on economic factors. Therefore, in this study voluntary tax compliance will be taken as a dependent variable while, an economic factor is as independent. The relationship of the variable for this study is proposed to as follows</w:t>
      </w: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Independent variables                                                             Dependent variable</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noProof/>
          <w:sz w:val="24"/>
          <w:szCs w:val="24"/>
        </w:rPr>
        <w:pict>
          <v:rect id="1031" fillcolor="white" style="position:absolute;margin-left:-2.55pt;margin-top:9.15pt;width:275.25pt;height:55.7pt;z-index:4;mso-position-horizontal-relative:text;mso-position-vertical-relative:text;mso-width-percent:0;mso-height-percent:0;mso-width-relative:page;mso-height-relative:page;mso-wrap-distance-left:0.0pt;mso-wrap-distance-right:0.0pt;visibility:visible;v-text-anchor:middle;">
            <v:stroke color="#f79646" weight="2.0pt"/>
            <v:fill/>
            <v:path arrowok="t"/>
            <v:textbox>
              <w:txbxContent>
                <w:p>
                  <w:pPr>
                    <w:pStyle w:val="style0"/>
                    <w:jc w:val="center"/>
                    <w:rPr>
                      <w:rFonts w:ascii="Times New Roman" w:cs="Times New Roman" w:hAnsi="Times New Roman"/>
                      <w:b/>
                    </w:rPr>
                  </w:pPr>
                  <w:r>
                    <w:rPr>
                      <w:rFonts w:ascii="Times New Roman" w:cs="Times New Roman" w:hAnsi="Times New Roman"/>
                      <w:b/>
                    </w:rPr>
                    <w:t>Economic Factor:</w:t>
                  </w:r>
                </w:p>
                <w:p>
                  <w:pPr>
                    <w:pStyle w:val="style0"/>
                    <w:rPr>
                      <w:rFonts w:ascii="Times New Roman" w:cs="Times New Roman" w:hAnsi="Times New Roman"/>
                    </w:rPr>
                  </w:pPr>
                  <w:r>
                    <w:rPr>
                      <w:rFonts w:ascii="Times New Roman" w:cs="Times New Roman" w:hAnsi="Times New Roman"/>
                    </w:rPr>
                    <w:t>Participation of government expenditure Tax audit</w:t>
                  </w:r>
                </w:p>
                <w:p>
                  <w:pPr>
                    <w:pStyle w:val="style0"/>
                    <w:rPr/>
                  </w:pPr>
                </w:p>
                <w:p>
                  <w:pPr>
                    <w:pStyle w:val="style0"/>
                    <w:rPr/>
                  </w:pPr>
                </w:p>
                <w:p>
                  <w:pPr>
                    <w:pStyle w:val="style0"/>
                    <w:rPr/>
                  </w:pPr>
                </w:p>
                <w:p>
                  <w:pPr>
                    <w:pStyle w:val="style0"/>
                    <w:jc w:val="center"/>
                    <w:rPr/>
                  </w:pPr>
                </w:p>
                <w:p>
                  <w:pPr>
                    <w:pStyle w:val="style0"/>
                    <w:jc w:val="center"/>
                    <w:rPr/>
                  </w:pPr>
                </w:p>
                <w:p>
                  <w:pPr>
                    <w:pStyle w:val="style0"/>
                    <w:jc w:val="center"/>
                    <w:rPr/>
                  </w:pPr>
                </w:p>
              </w:txbxContent>
            </v:textbox>
          </v:rect>
        </w:pic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noProof/>
          <w:sz w:val="24"/>
          <w:szCs w:val="24"/>
        </w:rPr>
        <w:pict>
          <v:shapetype id="_x0000_t32" coordsize="21600,21600" o:spt="32" o:oned="t" path="m,l21600,21600e">
            <v:path arrowok="t" fillok="f" o:connecttype="none"/>
            <o:lock v:ext="edit" shapetype="t"/>
          </v:shapetype>
          <v:shape id="1033" type="#_x0000_t32" filled="f" style="position:absolute;margin-left:273.0pt;margin-top:5.35pt;width:68.25pt;height:78.75pt;z-index:7;mso-position-horizontal-relative:text;mso-position-vertical-relative:text;mso-width-relative:page;mso-height-relative:page;mso-wrap-distance-left:0.0pt;mso-wrap-distance-right:0.0pt;visibility:visible;">
            <v:stroke endarrow="open" color="#4bacc6" weight="3.0pt"/>
            <v:fill/>
            <v:shadow on="t" color="black" offset="0.0pt,1.8110268pt" opacity="22937f" origin=",0.5"/>
            <v:path o:connecttype="none" fillok="f" arrowok="t"/>
          </v:shape>
        </w:pict>
      </w:r>
      <w:r>
        <w:rPr>
          <w:rFonts w:ascii="Times New Roman" w:cs="Times New Roman" w:hAnsi="Times New Roman"/>
          <w:noProof/>
          <w:sz w:val="24"/>
          <w:szCs w:val="24"/>
        </w:rPr>
        <w:pict>
          <v:oval id="1034" fillcolor="white" style="position:absolute;margin-left:341.55pt;margin-top:1.2pt;width:110.85pt;height:184.1pt;z-index:3;mso-position-horizontal-relative:text;mso-position-vertical-relative:text;mso-width-percent:0;mso-height-percent:0;mso-width-relative:page;mso-height-relative:page;mso-wrap-distance-left:0.0pt;mso-wrap-distance-right:0.0pt;visibility:visible;v-text-anchor:middle;">
            <v:stroke joinstyle="miter" color="#f79646" weight="2.0pt"/>
            <v:fill/>
            <v:path arrowok="t"/>
            <v:textbox>
              <w:txbxContent>
                <w:p>
                  <w:pPr>
                    <w:pStyle w:val="style0"/>
                    <w:jc w:val="center"/>
                    <w:rPr>
                      <w:rFonts w:ascii="Times New Roman" w:cs="Times New Roman" w:hAnsi="Times New Roman"/>
                    </w:rPr>
                  </w:pPr>
                  <w:r>
                    <w:rPr>
                      <w:rFonts w:ascii="Times New Roman" w:cs="Times New Roman" w:hAnsi="Times New Roman"/>
                    </w:rPr>
                    <w:t xml:space="preserve">  Tax Compliance</w:t>
                  </w:r>
                </w:p>
              </w:txbxContent>
            </v:textbox>
          </v:oval>
        </w:pict>
      </w: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noProof/>
          <w:sz w:val="24"/>
          <w:szCs w:val="24"/>
        </w:rPr>
        <w:pict>
          <v:shape id="1035" type="#_x0000_t32" filled="f" style="position:absolute;margin-left:272.25pt;margin-top:26.45pt;width:69.0pt;height:20.25pt;z-index:8;mso-position-horizontal-relative:text;mso-position-vertical-relative:text;mso-width-relative:page;mso-height-relative:page;mso-wrap-distance-left:0.0pt;mso-wrap-distance-right:0.0pt;visibility:visible;flip:y;">
            <v:stroke endarrow="open" color="#4bacc6" weight="3.0pt"/>
            <v:fill/>
            <v:shadow on="t" color="black" offset="0.0pt,1.8110268pt" opacity="22937f" origin=",0.5"/>
            <v:path o:connecttype="none" fillok="f" arrowok="t"/>
          </v:shape>
        </w:pict>
      </w:r>
      <w:r>
        <w:rPr>
          <w:rFonts w:ascii="Times New Roman" w:cs="Times New Roman" w:hAnsi="Times New Roman"/>
          <w:noProof/>
          <w:sz w:val="24"/>
          <w:szCs w:val="24"/>
        </w:rPr>
        <w:pict>
          <v:rect id="1036" fillcolor="white" style="position:absolute;margin-left:-2.7pt;margin-top:17.55pt;width:275.25pt;height:58.5pt;z-index:6;mso-position-horizontal-relative:text;mso-position-vertical-relative:text;mso-width-percent:0;mso-height-percent:0;mso-width-relative:page;mso-height-relative:page;mso-wrap-distance-left:0.0pt;mso-wrap-distance-right:0.0pt;visibility:visible;v-text-anchor:middle;">
            <v:stroke color="#f79646" weight="2.0pt"/>
            <v:fill/>
            <v:path arrowok="t"/>
            <v:textbox>
              <w:txbxContent>
                <w:p>
                  <w:pPr>
                    <w:pStyle w:val="style0"/>
                    <w:rPr>
                      <w:rFonts w:ascii="Times New Roman" w:cs="Times New Roman" w:hAnsi="Times New Roman"/>
                    </w:rPr>
                  </w:pPr>
                  <w:r>
                    <w:rPr>
                      <w:rFonts w:ascii="Times New Roman" w:cs="Times New Roman" w:hAnsi="Times New Roman"/>
                    </w:rPr>
                    <w:t>Demographic factor</w:t>
                  </w:r>
                </w:p>
                <w:p>
                  <w:pPr>
                    <w:pStyle w:val="style0"/>
                    <w:rPr>
                      <w:rFonts w:ascii="Times New Roman" w:cs="Times New Roman" w:hAnsi="Times New Roman"/>
                    </w:rPr>
                  </w:pPr>
                  <w:r>
                    <w:rPr>
                      <w:rFonts w:ascii="Times New Roman" w:cs="Times New Roman" w:hAnsi="Times New Roman"/>
                    </w:rPr>
                    <w:t>Age, Gender, education, level of income, economic, social and individual factors</w:t>
                  </w:r>
                </w:p>
              </w:txbxContent>
            </v:textbox>
          </v:rect>
        </w:pic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noProof/>
          <w:sz w:val="24"/>
          <w:szCs w:val="24"/>
        </w:rPr>
        <w:pict>
          <v:shape id="1037" type="#_x0000_t32" filled="f" style="position:absolute;margin-left:265.65pt;margin-top:8.5pt;width:75.6pt;height:113.25pt;z-index:9;mso-position-horizontal-relative:text;mso-position-vertical-relative:text;mso-width-relative:page;mso-height-relative:page;mso-wrap-distance-left:0.0pt;mso-wrap-distance-right:0.0pt;visibility:visible;flip:y;">
            <v:stroke endarrow="open" color="#4bacc6" weight="3.0pt"/>
            <v:fill/>
            <v:shadow on="t" color="black" offset="0.0pt,1.8110268pt" opacity="22937f" origin=",0.5"/>
            <v:path o:connecttype="none" fillok="f" arrowok="t"/>
          </v:shape>
        </w:pict>
      </w: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noProof/>
          <w:sz w:val="24"/>
          <w:szCs w:val="24"/>
        </w:rPr>
        <w:pict>
          <v:shape id="1038" coordsize="3028950,666750" path="m111127,0l3028950,0l3028950,555623c3028950,616997,2979197,666750,2917823,666750l0,666750,0,111127c0,49753,49753,0,111127,0xe" adj="-11796480,5400," fillcolor="white" style="position:absolute;margin-left:-2.4pt;margin-top:7.9pt;width:267.9pt;height:47.25pt;z-index:5;mso-position-horizontal-relative:text;mso-position-vertical-relative:text;mso-width-percent:0;mso-height-percent:0;mso-width-relative:margin;mso-height-relative:page;mso-wrap-distance-left:0.0pt;mso-wrap-distance-right:0.0pt;visibility:visible;v-text-anchor:middle;flip:y;">
            <v:stroke joinstyle="miter" color="#f79646" weight="2.0pt"/>
            <v:fill/>
            <v:path textboxrect="0,0,3028950,666750" o:connecttype="custom" o:connectlocs="124826,0;3402330,0;3402330,500061;3277504,600075;0,600075;0,100014;124826,0" o:connectangles="0.0,0.0,0.0,0.0,0.0,0.0,0.0" arrowok="t"/>
            <v:textbox>
              <w:txbxContent>
                <w:p>
                  <w:pPr>
                    <w:pStyle w:val="style0"/>
                    <w:rPr>
                      <w:rFonts w:ascii="Times New Roman" w:cs="Times New Roman" w:hAnsi="Times New Roman"/>
                    </w:rPr>
                  </w:pPr>
                  <w:r>
                    <w:t xml:space="preserve"> </w:t>
                  </w:r>
                  <w:r>
                    <w:rPr>
                      <w:rFonts w:ascii="Times New Roman" w:cs="Times New Roman" w:hAnsi="Times New Roman"/>
                    </w:rPr>
                    <w:t>Personal financial status Tax knowledge</w:t>
                  </w:r>
                </w:p>
              </w:txbxContent>
            </v:textbox>
          </v:shape>
        </w:pict>
      </w: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rPr>
      </w:pPr>
      <w:r>
        <w:rPr>
          <w:rFonts w:ascii="Times New Roman" w:cs="Times New Roman" w:hAnsi="Times New Roman"/>
          <w:sz w:val="24"/>
          <w:szCs w:val="24"/>
        </w:rPr>
        <w:t xml:space="preserve">Source: </w:t>
      </w:r>
      <w:r>
        <w:rPr>
          <w:rFonts w:ascii="Times New Roman" w:cs="Times New Roman" w:hAnsi="Times New Roman"/>
          <w:sz w:val="24"/>
        </w:rPr>
        <w:t>L</w:t>
      </w:r>
      <w:r>
        <w:rPr>
          <w:rFonts w:ascii="Times New Roman" w:cs="Times New Roman" w:hAnsi="Times New Roman"/>
          <w:sz w:val="24"/>
          <w:lang w:val="am-ET"/>
        </w:rPr>
        <w:t>iterature and own formulation</w:t>
      </w:r>
      <w:r>
        <w:rPr>
          <w:rFonts w:ascii="Times New Roman" w:cs="Times New Roman" w:hAnsi="Times New Roman"/>
          <w:sz w:val="24"/>
        </w:rPr>
        <w:t xml:space="preserve"> (2025)</w:t>
      </w:r>
    </w:p>
    <w:p>
      <w:pPr>
        <w:pStyle w:val="style0"/>
        <w:tabs>
          <w:tab w:val="left" w:leader="none" w:pos="7545"/>
        </w:tabs>
        <w:spacing w:lineRule="auto" w:line="360"/>
        <w:jc w:val="both"/>
        <w:rPr>
          <w:rFonts w:ascii="Times New Roman" w:cs="Times New Roman" w:hAnsi="Times New Roman"/>
          <w:sz w:val="24"/>
        </w:rPr>
      </w:pPr>
    </w:p>
    <w:p>
      <w:pPr>
        <w:pStyle w:val="style0"/>
        <w:tabs>
          <w:tab w:val="left" w:leader="none" w:pos="7545"/>
        </w:tabs>
        <w:spacing w:lineRule="auto" w:line="360"/>
        <w:jc w:val="both"/>
        <w:rPr>
          <w:rFonts w:ascii="Times New Roman" w:cs="Times New Roman" w:hAnsi="Times New Roman"/>
          <w:sz w:val="24"/>
        </w:rPr>
      </w:pPr>
    </w:p>
    <w:p>
      <w:pPr>
        <w:pStyle w:val="style0"/>
        <w:tabs>
          <w:tab w:val="left" w:leader="none" w:pos="7545"/>
        </w:tabs>
        <w:spacing w:lineRule="auto" w:line="360"/>
        <w:jc w:val="both"/>
        <w:rPr>
          <w:rFonts w:ascii="Times New Roman" w:cs="Times New Roman" w:hAnsi="Times New Roman"/>
          <w:sz w:val="24"/>
        </w:rPr>
      </w:pPr>
    </w:p>
    <w:p>
      <w:pPr>
        <w:pStyle w:val="style0"/>
        <w:tabs>
          <w:tab w:val="left" w:leader="none" w:pos="7545"/>
        </w:tabs>
        <w:spacing w:lineRule="auto" w:line="360"/>
        <w:jc w:val="both"/>
        <w:rPr>
          <w:rFonts w:ascii="Times New Roman" w:cs="Times New Roman" w:hAnsi="Times New Roman"/>
          <w:sz w:val="24"/>
        </w:rPr>
      </w:pPr>
    </w:p>
    <w:p>
      <w:pPr>
        <w:pStyle w:val="style0"/>
        <w:tabs>
          <w:tab w:val="left" w:leader="none" w:pos="7545"/>
        </w:tabs>
        <w:spacing w:lineRule="auto" w:line="360"/>
        <w:jc w:val="both"/>
        <w:rPr>
          <w:rFonts w:ascii="Times New Roman" w:cs="Times New Roman" w:hAnsi="Times New Roman"/>
          <w:sz w:val="24"/>
        </w:rPr>
      </w:pPr>
    </w:p>
    <w:p>
      <w:pPr>
        <w:pStyle w:val="style0"/>
        <w:tabs>
          <w:tab w:val="left" w:leader="none" w:pos="7545"/>
        </w:tabs>
        <w:spacing w:lineRule="auto" w:line="360"/>
        <w:jc w:val="both"/>
        <w:rPr>
          <w:rFonts w:ascii="Times New Roman" w:cs="Times New Roman" w:hAnsi="Times New Roman"/>
          <w:sz w:val="24"/>
        </w:rPr>
      </w:pPr>
    </w:p>
    <w:p>
      <w:pPr>
        <w:pStyle w:val="style0"/>
        <w:tabs>
          <w:tab w:val="left" w:leader="none" w:pos="7545"/>
        </w:tabs>
        <w:spacing w:lineRule="auto" w:line="360"/>
        <w:jc w:val="both"/>
        <w:rPr>
          <w:rFonts w:ascii="Times New Roman" w:cs="Times New Roman" w:hAnsi="Times New Roman"/>
          <w:sz w:val="24"/>
        </w:rPr>
      </w:pPr>
    </w:p>
    <w:p>
      <w:pPr>
        <w:pStyle w:val="style0"/>
        <w:tabs>
          <w:tab w:val="left" w:leader="none" w:pos="7545"/>
        </w:tabs>
        <w:spacing w:lineRule="auto" w:line="360"/>
        <w:jc w:val="both"/>
        <w:rPr>
          <w:rFonts w:ascii="Times New Roman" w:cs="Times New Roman" w:hAnsi="Times New Roman"/>
          <w:sz w:val="24"/>
          <w:szCs w:val="24"/>
        </w:rPr>
      </w:pPr>
    </w:p>
    <w:bookmarkStart w:id="97" w:name="_Toc130756444"/>
    <w:bookmarkStart w:id="98" w:name="_Toc167342535"/>
    <w:bookmarkStart w:id="99" w:name="_Toc204249782"/>
    <w:p>
      <w:pPr>
        <w:pStyle w:val="style0"/>
        <w:keepNext/>
        <w:keepLines/>
        <w:spacing w:before="480" w:after="0" w:lineRule="auto" w:line="360"/>
        <w:jc w:val="center"/>
        <w:outlineLvl w:val="0"/>
        <w:rPr>
          <w:rFonts w:ascii="Times New Roman" w:cs="Times New Roman" w:eastAsia="宋体" w:hAnsi="Times New Roman"/>
          <w:b/>
          <w:bCs/>
          <w:sz w:val="28"/>
          <w:szCs w:val="28"/>
        </w:rPr>
      </w:pPr>
      <w:r>
        <w:rPr>
          <w:rFonts w:ascii="Times New Roman" w:cs="Times New Roman" w:eastAsia="宋体" w:hAnsi="Times New Roman"/>
          <w:b/>
          <w:bCs/>
          <w:sz w:val="28"/>
          <w:szCs w:val="28"/>
        </w:rPr>
        <w:t>CHAPTER THREE</w:t>
      </w:r>
      <w:bookmarkEnd w:id="97"/>
      <w:bookmarkEnd w:id="98"/>
      <w:bookmarkEnd w:id="99"/>
    </w:p>
    <w:bookmarkStart w:id="100" w:name="_Toc130756445"/>
    <w:bookmarkStart w:id="101" w:name="_Toc167342536"/>
    <w:bookmarkStart w:id="102" w:name="_Toc204249783"/>
    <w:p>
      <w:pPr>
        <w:pStyle w:val="style0"/>
        <w:spacing w:before="100" w:beforeAutospacing="true" w:after="100" w:afterAutospacing="true" w:lineRule="auto" w:line="360"/>
        <w:outlineLvl w:val="1"/>
        <w:rPr>
          <w:rFonts w:ascii="Times New Roman" w:cs="Times New Roman" w:eastAsia="Times New Roman" w:hAnsi="Times New Roman"/>
          <w:b/>
          <w:bCs/>
          <w:sz w:val="24"/>
          <w:szCs w:val="24"/>
        </w:rPr>
      </w:pPr>
      <w:r>
        <w:rPr>
          <w:rFonts w:ascii="Times New Roman" w:cs="Times New Roman" w:eastAsia="Times New Roman" w:hAnsi="Times New Roman"/>
          <w:b/>
          <w:bCs/>
          <w:sz w:val="24"/>
          <w:szCs w:val="24"/>
        </w:rPr>
        <w:t>3.  METHODOLOGY</w:t>
      </w:r>
      <w:bookmarkEnd w:id="100"/>
      <w:bookmarkEnd w:id="101"/>
      <w:bookmarkEnd w:id="102"/>
    </w:p>
    <w:bookmarkStart w:id="103" w:name="_Toc203285105"/>
    <w:bookmarkStart w:id="104" w:name="_Toc204249784"/>
    <w:p>
      <w:pPr>
        <w:pStyle w:val="style3"/>
        <w:rPr>
          <w:rFonts w:ascii="Times New Roman" w:cs="Times New Roman" w:hAnsi="Times New Roman"/>
          <w:color w:val="auto"/>
        </w:rPr>
      </w:pPr>
      <w:r>
        <w:rPr>
          <w:rFonts w:ascii="Times New Roman" w:cs="Times New Roman" w:hAnsi="Times New Roman"/>
          <w:color w:val="auto"/>
          <w:sz w:val="26"/>
          <w:szCs w:val="26"/>
        </w:rPr>
        <w:t xml:space="preserve">3.1 </w:t>
      </w:r>
      <w:r>
        <w:rPr>
          <w:rFonts w:ascii="Times New Roman" w:cs="Times New Roman" w:hAnsi="Times New Roman"/>
          <w:color w:val="auto"/>
        </w:rPr>
        <w:t>Research Design</w:t>
      </w:r>
      <w:bookmarkEnd w:id="103"/>
      <w:bookmarkEnd w:id="104"/>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 study used survey method based on an explanatory design, which enabled the researcher to collect a wide range of data pertaining to the issue at hand. The purpose of explanatory research is to determine the kind and agree of cause-and-effect relationships that exist between variables. It determines the causes of a variety of processes and evaluate show changes to them will affect accepted norms and procedures (Zikmund, 2012).When it is not feasible to meet with every person face-to-face and researchers need to collect data from large number of people, they turn to surveys (Noorsharoja,2014). By using the survey approach, you can gather quantitative data for quantitative analysis using inferential and descriptive statistics.</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In addition, the data collected using a survey strategy can be used to suggest possible reasons for particular relationships between variables and to produce models of these relationships (Saundersetal. 2012). Therefore, Survey was appropriate for this study to examine tax-payers’ voluntary tax compliance category “</w:t>
      </w:r>
      <w:r>
        <w:rPr>
          <w:rFonts w:ascii="Times New Roman" w:cs="Times New Roman" w:hAnsi="Times New Roman"/>
          <w:sz w:val="24"/>
          <w:szCs w:val="24"/>
        </w:rPr>
        <w:t>A</w:t>
      </w:r>
      <w:r>
        <w:rPr>
          <w:rFonts w:ascii="Times New Roman" w:cs="Times New Roman" w:hAnsi="Times New Roman"/>
          <w:sz w:val="24"/>
          <w:szCs w:val="24"/>
        </w:rPr>
        <w:t>” in evidence Burayu City.</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 population of the study is category ‘A’ tax payers of the Burayu city due to the fact that this tax payers are required by law to declare their income or keep books of account, and considered as hard-to tax group. According to the Federal Income tax proclamation regulationNo.976/2016, category ‘A’ taxpayers is those who’s are having an annual gross income of birr 1,000,001 or more Birr. A standard assessment method shall be used to determine the income tax liability of category ‘A’ taxpayers. The standard assessment shall be a fixed amount of tax determined in accordance with a council of Ministers Regulations establishing a schedule of standard assessment amounts that reflects variation in the type of business, business size, and business location.</w:t>
      </w:r>
    </w:p>
    <w:bookmarkStart w:id="105" w:name="_Toc203285106"/>
    <w:bookmarkStart w:id="106" w:name="_Toc204249785"/>
    <w:p>
      <w:pPr>
        <w:pStyle w:val="style3"/>
        <w:rPr>
          <w:rFonts w:ascii="Times New Roman" w:cs="Times New Roman" w:hAnsi="Times New Roman"/>
          <w:color w:val="auto"/>
          <w:sz w:val="24"/>
        </w:rPr>
      </w:pPr>
      <w:r>
        <w:rPr>
          <w:rFonts w:ascii="Times New Roman" w:cs="Times New Roman" w:hAnsi="Times New Roman"/>
          <w:color w:val="auto"/>
          <w:sz w:val="24"/>
        </w:rPr>
        <w:t>3.2. Research Approach</w:t>
      </w:r>
      <w:bookmarkEnd w:id="105"/>
      <w:bookmarkEnd w:id="106"/>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research approach which was used for this study is quantitative in nature. Creswell (2005) asserted, quantitative research is type of research in  which the research decides what to study, ask specific narrow question,  collects numeric data  from participant and analysis these numbers using  statistics, and conducts the inquiry in  an unbiased, objective manner Creswell, 2005). </w:t>
      </w:r>
      <w:r>
        <w:rPr>
          <w:rFonts w:ascii="Times New Roman" w:cs="Times New Roman" w:hAnsi="Times New Roman"/>
          <w:sz w:val="24"/>
          <w:szCs w:val="24"/>
        </w:rPr>
        <w:t xml:space="preserve">Variable can be defined as attributes or characteristics of individuals, group, or subgroup of individual (Creswell, 2005).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Quantitative study involves analysis of data and information that are descriptive in nature and qualified (Sekaran, 2003).quantitative approach is one in which the investigator primarily uses post positive claims for developing knowledge, causes and effect relationship between known variables of interest or it employees strategies of inquiry such as experiments and surveys, and collect data on predetermined instrument that yield statistics data (Creswell, 2003). The purpose of this study is to evaluate and observe through survey instrument if the response variable to achieve the fore mentioned objective, therefore the study adopts quantitative research approach, as the methodology to provide a quantifiable statistical analysis of the response to survey. An investigator uses numerical data in this method (Creswell, 2009).</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Researchers use postpositive claims, such as reduction to specific variables, measurement and observation, testing of theories, and cause and effect thinking, to develop knowledge. The methodical, scientific study of quantitative characteristics, phenomena, and their relationships is known as quantitative research. According to Creswell (Ibid), positivist claims are the main tool used by researchers in quantitative research to advance knowledge. According to the positivist perspective, which holds that reality is objective, knowledge is produced by deductive reasoning, which follows methodical and exact process (McKerchar, 2010).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This approach's primary benefit is that working with numbers is simple; data can be easily gathered, coded, compiled, and examined. Furthermore, gathering data is impartial, free of bias, and reasonably quick. However, with this approach, the focus is on testing theories or hypotheses rather than developing new ones, and researchers are well-versed in the average or collective experiences of research participants (Creswell 2009). Given this, the most effective method for analyzing the variables affecting the tax compliance of the study area's Category "A" taxpayers is the quantitative approach.</w:t>
      </w:r>
    </w:p>
    <w:bookmarkStart w:id="107" w:name="_Toc203285107"/>
    <w:bookmarkStart w:id="108" w:name="_Toc204249786"/>
    <w:p>
      <w:pPr>
        <w:pStyle w:val="style3"/>
        <w:rPr>
          <w:rFonts w:ascii="Times New Roman" w:cs="Times New Roman" w:hAnsi="Times New Roman"/>
          <w:color w:val="auto"/>
          <w:sz w:val="24"/>
        </w:rPr>
      </w:pPr>
      <w:r>
        <w:rPr>
          <w:rFonts w:ascii="Times New Roman" w:cs="Times New Roman" w:hAnsi="Times New Roman"/>
          <w:color w:val="auto"/>
          <w:sz w:val="24"/>
        </w:rPr>
        <w:t>3.3. Target Population</w:t>
      </w:r>
      <w:bookmarkEnd w:id="107"/>
      <w:bookmarkEnd w:id="108"/>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target population of the study was Voluntary Tax Compliance of Category Taxpayers evidence From Burayu City for the fiscal year 2016/17. A population is a large pool of cases of elements from which the researcher could draw a sample and results to be generalized from the </w:t>
      </w:r>
      <w:r>
        <w:rPr>
          <w:rFonts w:ascii="Times New Roman" w:cs="Times New Roman" w:hAnsi="Times New Roman"/>
          <w:sz w:val="24"/>
          <w:szCs w:val="24"/>
        </w:rPr>
        <w:t>drawn sample (Leedy &amp; Ormrod, 2013). According to (2017), the total population of Category “A” tax payers in Burayu sub-city as of March 2024 is 515.</w:t>
      </w:r>
    </w:p>
    <w:bookmarkStart w:id="109" w:name="_Toc203285108"/>
    <w:bookmarkStart w:id="110" w:name="_Toc204249787"/>
    <w:p>
      <w:pPr>
        <w:pStyle w:val="style3"/>
        <w:rPr>
          <w:rFonts w:ascii="Times New Roman" w:cs="Times New Roman" w:hAnsi="Times New Roman"/>
          <w:color w:val="auto"/>
          <w:sz w:val="24"/>
        </w:rPr>
      </w:pPr>
      <w:r>
        <w:rPr>
          <w:rFonts w:ascii="Times New Roman" w:cs="Times New Roman" w:hAnsi="Times New Roman"/>
          <w:color w:val="auto"/>
          <w:sz w:val="24"/>
        </w:rPr>
        <w:t>3.4. Sampling Technique and Sample Size Determination</w:t>
      </w:r>
      <w:bookmarkEnd w:id="109"/>
      <w:bookmarkEnd w:id="110"/>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According to Burayu sub city Revenue development Office, the total number of category ‘A’ tax payers in the city as of May, 2023/4 are 515. The research for the purpose of this study used random sampling technique as it assumes to provide more efficient sampling considering numbers of taxpayers. In here simple random sampling technique has been employed. Therefore, for this study to increase the accuracy of the data, a large sample size select accordingly out of total population 515 and among these 225 respondents were drawn as sample respondents by solving formula. </w:t>
      </w:r>
    </w:p>
    <w:tbl>
      <w:tblPr>
        <w:tblW w:w="9456" w:type="dxa"/>
        <w:tblLook w:val="04A0" w:firstRow="1" w:lastRow="0" w:firstColumn="1" w:lastColumn="0" w:noHBand="0" w:noVBand="1"/>
      </w:tblPr>
      <w:tblGrid>
        <w:gridCol w:w="9456"/>
      </w:tblGrid>
      <w:tr>
        <w:trPr>
          <w:trHeight w:val="5278" w:hRule="atLeast"/>
        </w:trPr>
        <w:tc>
          <w:tcPr>
            <w:tcW w:w="9456" w:type="dxa"/>
            <w:tcBorders/>
            <w:noWrap/>
            <w:tcFitText w:val="false"/>
            <w:hideMark/>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To get appropriate sample size the researcher was used Solving formula. Developed by Michael Solving cite in Yamane 1967. That is To get appropriate sample size the researcher was used solving formula. Developed by Michael Solving cite in Yemane 1967. That is</w:t>
            </w:r>
          </w:p>
          <w:p>
            <w:pPr>
              <w:pStyle w:val="style0"/>
              <w:tabs>
                <w:tab w:val="left" w:leader="none" w:pos="7545"/>
              </w:tabs>
              <w:spacing w:lineRule="auto" w:line="360"/>
              <w:jc w:val="both"/>
              <w:rPr>
                <w:rFonts w:ascii="Times New Roman" w:cs="Times New Roman" w:hAnsi="Times New Roman"/>
                <w:sz w:val="24"/>
                <w:szCs w:val="24"/>
                <w:u w:val="single"/>
              </w:rPr>
            </w:pPr>
            <w:r>
              <w:rPr>
                <w:rFonts w:ascii="Times New Roman" w:cs="Times New Roman" w:hAnsi="Times New Roman"/>
                <w:sz w:val="24"/>
                <w:szCs w:val="24"/>
                <w:u w:val="single"/>
              </w:rPr>
              <w:t xml:space="preserve">  N </w:t>
            </w:r>
            <w:r>
              <w:rPr>
                <w:rFonts w:ascii="Times New Roman" w:cs="Times New Roman" w:hAnsi="Times New Roman"/>
                <w:sz w:val="24"/>
                <w:szCs w:val="24"/>
              </w:rPr>
              <w:t xml:space="preserve">       =       n      =            </w:t>
            </w:r>
            <w:r>
              <w:rPr>
                <w:rFonts w:ascii="Times New Roman" w:cs="Times New Roman" w:hAnsi="Times New Roman"/>
                <w:sz w:val="24"/>
                <w:szCs w:val="24"/>
                <w:u w:val="single"/>
              </w:rPr>
              <w:t xml:space="preserve">515                              </w:t>
            </w:r>
            <w:r>
              <w:rPr>
                <w:rFonts w:ascii="Times New Roman" w:cs="Times New Roman" w:hAnsi="Times New Roman"/>
                <w:sz w:val="24"/>
                <w:szCs w:val="24"/>
              </w:rPr>
              <w:t>= 225</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 N(e)</w:t>
            </w:r>
            <w:r>
              <w:rPr>
                <w:rFonts w:ascii="Times New Roman" w:cs="Times New Roman" w:hAnsi="Times New Roman"/>
                <w:sz w:val="24"/>
                <w:szCs w:val="24"/>
                <w:vertAlign w:val="superscript"/>
              </w:rPr>
              <w:t>2</w:t>
            </w:r>
            <w:r>
              <w:rPr>
                <w:rFonts w:ascii="Times New Roman" w:cs="Times New Roman" w:hAnsi="Times New Roman"/>
                <w:sz w:val="24"/>
                <w:szCs w:val="24"/>
              </w:rPr>
              <w:t xml:space="preserve">                              1+ 515(0.05)</w:t>
            </w:r>
            <w:r>
              <w:rPr>
                <w:rFonts w:ascii="Times New Roman" w:cs="Times New Roman" w:hAnsi="Times New Roman"/>
                <w:sz w:val="24"/>
                <w:szCs w:val="24"/>
                <w:vertAlign w:val="superscript"/>
              </w:rPr>
              <w:t>2</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Where;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n = Sample of Target Population</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N = Target Population</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e = 0.05 or allowance for random error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(to get 95% confidence level)</w:t>
            </w:r>
          </w:p>
        </w:tc>
      </w:tr>
      <w:bookmarkStart w:id="111" w:name="_Toc203285109"/>
      <w:bookmarkStart w:id="112" w:name="_Toc204249788"/>
    </w:tbl>
    <w:p>
      <w:pPr>
        <w:pStyle w:val="style3"/>
        <w:rPr>
          <w:rFonts w:ascii="Times New Roman" w:cs="Times New Roman" w:hAnsi="Times New Roman"/>
          <w:color w:val="auto"/>
          <w:sz w:val="24"/>
        </w:rPr>
      </w:pPr>
      <w:r>
        <w:rPr>
          <w:rFonts w:ascii="Times New Roman" w:cs="Times New Roman" w:hAnsi="Times New Roman"/>
          <w:color w:val="auto"/>
          <w:sz w:val="24"/>
        </w:rPr>
        <w:t>3.5. Source and Method of data collection</w:t>
      </w:r>
      <w:bookmarkEnd w:id="111"/>
      <w:bookmarkEnd w:id="112"/>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study used both primary and secondary data. The primary data include the information gathers through questionnaire by distributing to the Burayu sub city taxpayers of Category “A”. The questionnaire comprises of both closed and open ended questions. The popularity of the closed –ended questions provides less effort by respondents to complete the questionnaire and it is easy for analysis. Most of the closed ended questions were designed on a Liker type-scale with </w:t>
      </w:r>
      <w:r>
        <w:rPr>
          <w:rFonts w:ascii="Times New Roman" w:cs="Times New Roman" w:hAnsi="Times New Roman"/>
          <w:sz w:val="24"/>
          <w:szCs w:val="24"/>
        </w:rPr>
        <w:t>a 5-point scale from 1-“Strongly Disagree” to 5- “Strongly agree”. Adding open ended questions allows respondents to offer an answer that the researcher didn’t include in the questions. The replies of open-ended questions are analyzed by content under different categories. Clarifications of the purpose of the survey were given and taxpayers told that is a study to assess tax payers’ voluntary compliance with taxation in Burayu sub- city, Oromia regional state. Generally, tax payers’ agreed to take part and   waited till they express additional views and suggestions.</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Data investigators or enumerators were hired and undertook the job after taking the necessary training. The questionnaire was translated into Afan Oromo by taking into consideration the fact that English is not the language of the respondents. Secondary data were also collected from Burayu sub- City Revenue Development Office data base. This data includes number of category ‘A’ taxpayers in each district and their distribution with respect to business type/sector. While collecting and using these data for the study, more considerations were given to their time period, reliability, and relevance to the purpose of the study.</w:t>
      </w:r>
    </w:p>
    <w:bookmarkStart w:id="113" w:name="_Toc203285110"/>
    <w:bookmarkStart w:id="114" w:name="_Toc204249789"/>
    <w:p>
      <w:pPr>
        <w:pStyle w:val="style3"/>
        <w:rPr>
          <w:rFonts w:ascii="Times New Roman" w:cs="Times New Roman" w:hAnsi="Times New Roman"/>
          <w:color w:val="auto"/>
          <w:sz w:val="24"/>
        </w:rPr>
      </w:pPr>
      <w:r>
        <w:rPr>
          <w:rFonts w:ascii="Times New Roman" w:cs="Times New Roman" w:hAnsi="Times New Roman"/>
          <w:color w:val="auto"/>
          <w:sz w:val="24"/>
        </w:rPr>
        <w:t>3.6. Date Collection Instruments</w:t>
      </w:r>
      <w:bookmarkEnd w:id="113"/>
      <w:bookmarkEnd w:id="114"/>
    </w:p>
    <w:bookmarkStart w:id="115" w:name="_bookmark51"/>
    <w:bookmarkEnd w:id="115"/>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A structured questionnaire was used to gather the primary data. Face-to-face questionnaires were distributed to willing taxpayers. In Oromia, Shegar, and Burayu Sub-city, the tax compliance of category "A" taxpayers was evaluated using well-structured Likert-type questions. The questions were modified to fit this study from Noor Sharoja (2014), whose validity has been examined in earlier research. The questionnaire survey approach was used by the researcher to collect data for this investigation. This data collection strategy was used in an effort to increase the validity of the study by obtaining more dependable survey responses and possibly a higher response rate. The majority of the time, questionnaires was given out in person to determine participants' willingness to take part in the research. This arrangement afforded researchers the chance to orally elucidate the significance of their study. When necessary, researchers may carefully offer some explanations and/or examples in relation to some challenging, delicate, or significant questions. However, in order to prevent bias in this study, researchers only intervened when participants requested more information.</w:t>
      </w:r>
    </w:p>
    <w:bookmarkStart w:id="116" w:name="_Toc203285111"/>
    <w:bookmarkStart w:id="117" w:name="_Toc204249790"/>
    <w:p>
      <w:pPr>
        <w:pStyle w:val="style3"/>
        <w:rPr>
          <w:rFonts w:ascii="Times New Roman" w:cs="Times New Roman" w:hAnsi="Times New Roman"/>
          <w:color w:val="auto"/>
          <w:sz w:val="24"/>
        </w:rPr>
      </w:pPr>
      <w:r>
        <w:rPr>
          <w:rFonts w:ascii="Times New Roman" w:cs="Times New Roman" w:hAnsi="Times New Roman"/>
          <w:color w:val="auto"/>
          <w:sz w:val="24"/>
        </w:rPr>
        <w:t>3.7. Method of Data Analysis</w:t>
      </w:r>
      <w:bookmarkEnd w:id="116"/>
      <w:bookmarkEnd w:id="117"/>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Questionnaires collected from respondents were tallied, organized, coded and structured systematically. Both descriptive and inferential tests used in the analysis. Data were described or </w:t>
      </w:r>
      <w:r>
        <w:rPr>
          <w:rFonts w:ascii="Times New Roman" w:cs="Times New Roman" w:hAnsi="Times New Roman"/>
          <w:sz w:val="24"/>
          <w:szCs w:val="24"/>
        </w:rPr>
        <w:t>summarized using descriptive statistics such as, cross tabulation, frequencies and mean, which helps in meaningfully describing the distribution of responses. Inferential statistics method used to infer population characteristics from the sample. Thus, the data was analyzed by using the statistical software program namely Statistical Package for Social Research (SPSS) version 28. Several techniques of analysis were used including Reliability test, Factory Analysis, and Correlation.</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In order to find answers to the specific objective one stated in chapter one, descriptive statistical tools such as tables, percentages, average, and charts were used. And to answer the specific objective two stated in chapter one, correlation analysis were used; so as to find out if there exist direct association between the determinant factors constructed as the independent variable with tax compliance constructed as the dependent variable. </w:t>
      </w:r>
    </w:p>
    <w:bookmarkStart w:id="118" w:name="_Toc203285112"/>
    <w:bookmarkStart w:id="119" w:name="_Toc204249791"/>
    <w:p>
      <w:pPr>
        <w:pStyle w:val="style3"/>
        <w:rPr>
          <w:rFonts w:ascii="Times New Roman" w:cs="Times New Roman" w:hAnsi="Times New Roman"/>
          <w:color w:val="auto"/>
        </w:rPr>
      </w:pPr>
      <w:r>
        <w:rPr>
          <w:rFonts w:ascii="Times New Roman" w:cs="Times New Roman" w:hAnsi="Times New Roman"/>
          <w:color w:val="auto"/>
        </w:rPr>
        <w:t>3.8 Model of study</w:t>
      </w:r>
      <w:bookmarkEnd w:id="118"/>
      <w:bookmarkEnd w:id="119"/>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In this study, the economic factors like perception of taxpayers, and the demographic factors such as age, gender, education and level of taxpayers’ income are independent and dependent variables that show the degree of their relationship. Data were summarized using descriptive   statistics and various inferential statistics. Some of the tax compliance issues include gender, age, education, income, government spending, government policy, penalty; tax audit etc. in the probit model, as used in this study, the inverse standard normal distribution of the probability is modeled as a linear combination of the predictors. The probit regression models, whose name refers to contraction of probability unit, was used as an alternative to the binary logistic regression models, for cases where the probability curve for determined event probability curve for determined event probabilities adjust themselves more  adequately to the cumulative density function of the standard. Simple regression analysis was also used to assess the relationship between outcome or the dependent variable and severalty predictors variable has as well as they importance of each of the predictors to the relationship, often with the effect of others predictors statistically eliminated (moges, 2020) to this effect, in this study data analysis, an ordered probit model is used to estimate relationships between an ordinal dependent variable and set of independent variables. A probit model is a popular specification for a binary response model. Such it treats the same set of problems as does logistic regression using similar techniques. When </w:t>
      </w:r>
      <w:r>
        <w:rPr>
          <w:rFonts w:ascii="Times New Roman" w:cs="Times New Roman" w:hAnsi="Times New Roman"/>
          <w:sz w:val="24"/>
          <w:szCs w:val="24"/>
        </w:rPr>
        <w:t>viewed in the generalized linear model framework, the probit model employs a probit link function.</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In addition, the β coefficients for the each independent variable generate from the model was subject to different tests, in order to test each of hypothesis under study. So, Y (volu</w:t>
      </w:r>
      <w:r>
        <w:rPr>
          <w:rFonts w:ascii="Times New Roman" w:cs="Times New Roman" w:hAnsi="Times New Roman"/>
          <w:sz w:val="24"/>
          <w:szCs w:val="24"/>
        </w:rPr>
        <w:t xml:space="preserve">ntary tax compliance) was the </w:t>
      </w:r>
      <w:r>
        <w:rPr>
          <w:rFonts w:ascii="Times New Roman" w:cs="Times New Roman" w:hAnsi="Times New Roman"/>
          <w:sz w:val="24"/>
          <w:szCs w:val="24"/>
        </w:rPr>
        <w:t>dependent variable which could be influenced by the independent variable like X1, X2, and X3 .…Xn .</w:t>
      </w:r>
    </w:p>
    <w:p>
      <w:pPr>
        <w:pStyle w:val="style179"/>
        <w:numPr>
          <w:ilvl w:val="0"/>
          <w:numId w:val="73"/>
        </w:numPr>
        <w:spacing w:after="0" w:lineRule="auto" w:line="360"/>
        <w:rPr>
          <w:rFonts w:ascii="Times New Roman" w:cs="Times New Roman" w:hAnsi="Times New Roman"/>
          <w:sz w:val="24"/>
          <w:szCs w:val="24"/>
        </w:rPr>
      </w:pPr>
      <w:r>
        <w:rPr>
          <w:rFonts w:ascii="Times New Roman" w:cs="Times New Roman" w:hAnsi="Times New Roman"/>
          <w:sz w:val="24"/>
          <w:szCs w:val="24"/>
        </w:rPr>
        <w:t>Yi</w:t>
      </w:r>
      <w:r>
        <w:rPr>
          <w:rFonts w:ascii="Times New Roman" w:cs="Times New Roman" w:hAnsi="Times New Roman"/>
          <w:sz w:val="24"/>
          <w:szCs w:val="24"/>
        </w:rPr>
        <w:t xml:space="preserve">= </w:t>
      </w:r>
      <w:r>
        <w:rPr>
          <w:rFonts w:ascii="Times New Roman" w:cs="Times New Roman" w:hAnsi="Times New Roman"/>
          <w:sz w:val="24"/>
          <w:szCs w:val="24"/>
        </w:rPr>
        <w:t xml:space="preserve"> α</w:t>
      </w:r>
      <w:r>
        <w:rPr>
          <w:rFonts w:ascii="Times New Roman" w:cs="Times New Roman" w:hAnsi="Times New Roman"/>
          <w:sz w:val="24"/>
          <w:szCs w:val="24"/>
          <w:vertAlign w:val="subscript"/>
        </w:rPr>
        <w:t>0</w:t>
      </w:r>
      <w:r>
        <w:rPr>
          <w:rFonts w:ascii="Times New Roman" w:cs="Times New Roman" w:hAnsi="Times New Roman"/>
          <w:sz w:val="24"/>
          <w:szCs w:val="24"/>
        </w:rPr>
        <w:t>+ β</w:t>
      </w:r>
      <w:r>
        <w:rPr>
          <w:rFonts w:ascii="Times New Roman" w:cs="Times New Roman" w:hAnsi="Times New Roman"/>
          <w:sz w:val="24"/>
          <w:szCs w:val="24"/>
          <w:vertAlign w:val="subscript"/>
        </w:rPr>
        <w:t>1</w:t>
      </w:r>
      <w:r>
        <w:rPr>
          <w:rFonts w:ascii="Times New Roman" w:cs="Times New Roman" w:hAnsi="Times New Roman"/>
          <w:sz w:val="24"/>
          <w:szCs w:val="24"/>
        </w:rPr>
        <w:t>X</w:t>
      </w:r>
      <w:r>
        <w:rPr>
          <w:rFonts w:ascii="Times New Roman" w:cs="Times New Roman" w:hAnsi="Times New Roman"/>
          <w:sz w:val="24"/>
          <w:szCs w:val="24"/>
          <w:vertAlign w:val="subscript"/>
        </w:rPr>
        <w:t>1</w:t>
      </w:r>
      <w:r>
        <w:rPr>
          <w:rFonts w:ascii="Times New Roman" w:cs="Times New Roman" w:hAnsi="Times New Roman"/>
          <w:sz w:val="24"/>
          <w:szCs w:val="24"/>
        </w:rPr>
        <w:t>+ β</w:t>
      </w:r>
      <w:r>
        <w:rPr>
          <w:rFonts w:ascii="Times New Roman" w:cs="Times New Roman" w:hAnsi="Times New Roman"/>
          <w:sz w:val="24"/>
          <w:szCs w:val="24"/>
          <w:vertAlign w:val="subscript"/>
        </w:rPr>
        <w:t>2</w:t>
      </w:r>
      <w:r>
        <w:rPr>
          <w:rFonts w:ascii="Times New Roman" w:cs="Times New Roman" w:hAnsi="Times New Roman"/>
          <w:sz w:val="24"/>
          <w:szCs w:val="24"/>
        </w:rPr>
        <w:t>X</w:t>
      </w:r>
      <w:r>
        <w:rPr>
          <w:rFonts w:ascii="Times New Roman" w:cs="Times New Roman" w:hAnsi="Times New Roman"/>
          <w:sz w:val="24"/>
          <w:szCs w:val="24"/>
          <w:vertAlign w:val="subscript"/>
        </w:rPr>
        <w:t>2</w:t>
      </w:r>
      <w:r>
        <w:rPr>
          <w:rFonts w:ascii="Times New Roman" w:cs="Times New Roman" w:hAnsi="Times New Roman"/>
          <w:sz w:val="24"/>
          <w:szCs w:val="24"/>
        </w:rPr>
        <w:t>+ β</w:t>
      </w:r>
      <w:r>
        <w:rPr>
          <w:rFonts w:ascii="Times New Roman" w:cs="Times New Roman" w:hAnsi="Times New Roman"/>
          <w:sz w:val="24"/>
          <w:szCs w:val="24"/>
          <w:vertAlign w:val="subscript"/>
        </w:rPr>
        <w:t>3</w:t>
      </w:r>
      <w:r>
        <w:rPr>
          <w:rFonts w:ascii="Times New Roman" w:cs="Times New Roman" w:hAnsi="Times New Roman"/>
          <w:sz w:val="24"/>
          <w:szCs w:val="24"/>
        </w:rPr>
        <w:t>X</w:t>
      </w:r>
      <w:r>
        <w:rPr>
          <w:rFonts w:ascii="Times New Roman" w:cs="Times New Roman" w:hAnsi="Times New Roman"/>
          <w:sz w:val="24"/>
          <w:szCs w:val="24"/>
          <w:vertAlign w:val="subscript"/>
        </w:rPr>
        <w:t>3</w:t>
      </w:r>
      <w:r>
        <w:rPr>
          <w:rFonts w:ascii="Times New Roman" w:cs="Times New Roman" w:hAnsi="Times New Roman"/>
          <w:sz w:val="24"/>
          <w:szCs w:val="24"/>
        </w:rPr>
        <w:t xml:space="preserve"> +</w:t>
      </w:r>
      <w:r>
        <w:rPr>
          <w:rFonts w:ascii="Times New Roman" w:cs="Times New Roman" w:hAnsi="Times New Roman"/>
        </w:rPr>
        <w:t xml:space="preserve"> </w:t>
      </w:r>
      <w:r>
        <w:rPr>
          <w:rFonts w:ascii="Times New Roman" w:cs="Times New Roman" w:hAnsi="Times New Roman"/>
          <w:sz w:val="24"/>
          <w:szCs w:val="24"/>
        </w:rPr>
        <w:t>β3X4+β</w:t>
      </w:r>
      <w:r>
        <w:rPr>
          <w:rFonts w:ascii="Times New Roman" w:cs="Times New Roman" w:hAnsi="Times New Roman"/>
          <w:sz w:val="24"/>
          <w:szCs w:val="24"/>
          <w:vertAlign w:val="subscript"/>
        </w:rPr>
        <w:t>4</w:t>
      </w:r>
      <w:r>
        <w:rPr>
          <w:rFonts w:ascii="Times New Roman" w:cs="Times New Roman" w:hAnsi="Times New Roman"/>
          <w:sz w:val="24"/>
          <w:szCs w:val="24"/>
        </w:rPr>
        <w:t>X</w:t>
      </w:r>
      <w:r>
        <w:rPr>
          <w:rFonts w:ascii="Times New Roman" w:cs="Times New Roman" w:hAnsi="Times New Roman"/>
          <w:sz w:val="24"/>
          <w:szCs w:val="24"/>
          <w:vertAlign w:val="subscript"/>
        </w:rPr>
        <w:t>4</w:t>
      </w:r>
      <w:r>
        <w:rPr>
          <w:rFonts w:ascii="Times New Roman" w:cs="Times New Roman" w:hAnsi="Times New Roman"/>
          <w:sz w:val="24"/>
          <w:szCs w:val="24"/>
        </w:rPr>
        <w:t>+ β</w:t>
      </w:r>
      <w:r>
        <w:rPr>
          <w:rFonts w:ascii="Times New Roman" w:cs="Times New Roman" w:hAnsi="Times New Roman"/>
          <w:sz w:val="24"/>
          <w:szCs w:val="24"/>
          <w:vertAlign w:val="subscript"/>
        </w:rPr>
        <w:t>5</w:t>
      </w:r>
      <w:r>
        <w:rPr>
          <w:rFonts w:ascii="Times New Roman" w:cs="Times New Roman" w:hAnsi="Times New Roman"/>
          <w:sz w:val="24"/>
          <w:szCs w:val="24"/>
        </w:rPr>
        <w:t>X</w:t>
      </w:r>
      <w:r>
        <w:rPr>
          <w:rFonts w:ascii="Times New Roman" w:cs="Times New Roman" w:hAnsi="Times New Roman"/>
          <w:sz w:val="24"/>
          <w:szCs w:val="24"/>
          <w:vertAlign w:val="subscript"/>
        </w:rPr>
        <w:t>5</w:t>
      </w:r>
      <w:r>
        <w:rPr>
          <w:rFonts w:ascii="Times New Roman" w:cs="Times New Roman" w:hAnsi="Times New Roman"/>
          <w:sz w:val="24"/>
          <w:szCs w:val="24"/>
        </w:rPr>
        <w:t>+ β</w:t>
      </w:r>
      <w:r>
        <w:rPr>
          <w:rFonts w:ascii="Times New Roman" w:cs="Times New Roman" w:hAnsi="Times New Roman"/>
          <w:sz w:val="24"/>
          <w:szCs w:val="24"/>
          <w:vertAlign w:val="subscript"/>
        </w:rPr>
        <w:t>6</w:t>
      </w:r>
      <w:r>
        <w:rPr>
          <w:rFonts w:ascii="Times New Roman" w:cs="Times New Roman" w:hAnsi="Times New Roman"/>
          <w:sz w:val="24"/>
          <w:szCs w:val="24"/>
        </w:rPr>
        <w:t>X</w:t>
      </w:r>
      <w:r>
        <w:rPr>
          <w:rFonts w:ascii="Times New Roman" w:cs="Times New Roman" w:hAnsi="Times New Roman"/>
          <w:sz w:val="24"/>
          <w:szCs w:val="24"/>
          <w:vertAlign w:val="subscript"/>
        </w:rPr>
        <w:t>6</w:t>
      </w:r>
      <w:r>
        <w:rPr>
          <w:rFonts w:ascii="Times New Roman" w:cs="Times New Roman" w:hAnsi="Times New Roman"/>
          <w:sz w:val="24"/>
          <w:szCs w:val="24"/>
        </w:rPr>
        <w:t xml:space="preserve"> + …..+ β</w:t>
      </w:r>
      <w:r>
        <w:rPr>
          <w:rFonts w:ascii="Times New Roman" w:cs="Times New Roman" w:hAnsi="Times New Roman"/>
          <w:sz w:val="24"/>
          <w:szCs w:val="24"/>
          <w:vertAlign w:val="subscript"/>
        </w:rPr>
        <w:t>12</w:t>
      </w:r>
      <w:r>
        <w:rPr>
          <w:rFonts w:ascii="Times New Roman" w:cs="Times New Roman" w:hAnsi="Times New Roman"/>
          <w:sz w:val="24"/>
          <w:szCs w:val="24"/>
        </w:rPr>
        <w:t>X</w:t>
      </w:r>
      <w:r>
        <w:rPr>
          <w:rFonts w:ascii="Times New Roman" w:cs="Times New Roman" w:hAnsi="Times New Roman"/>
          <w:sz w:val="24"/>
          <w:szCs w:val="24"/>
          <w:vertAlign w:val="subscript"/>
        </w:rPr>
        <w:t>12</w:t>
      </w:r>
      <w:r>
        <w:rPr>
          <w:rFonts w:ascii="Times New Roman" w:cs="Times New Roman" w:hAnsi="Times New Roman"/>
          <w:sz w:val="24"/>
          <w:szCs w:val="24"/>
        </w:rPr>
        <w:t xml:space="preserve"> +e</w:t>
      </w:r>
      <w:r>
        <w:rPr>
          <w:rFonts w:ascii="Times New Roman" w:cs="Times New Roman" w:hAnsi="Times New Roman"/>
          <w:sz w:val="24"/>
          <w:szCs w:val="24"/>
        </w:rPr>
        <w:fldChar w:fldCharType="begin"/>
      </w:r>
      <w:r>
        <w:rPr>
          <w:rFonts w:ascii="Times New Roman" w:cs="Times New Roman" w:hAnsi="Times New Roman"/>
          <w:sz w:val="24"/>
          <w:szCs w:val="24"/>
        </w:rPr>
        <w:instrText xml:space="preserve"> QUOTE </w:instrText>
      </w:r>
      <w:r>
        <w:rPr>
          <w:rFonts w:ascii="Times New Roman" w:cs="Times New Roman" w:hAnsi="Times New Roman"/>
          <w:noProof/>
        </w:rPr>
        <w:drawing>
          <wp:inline distT="0" distB="0" distL="0" distR="0">
            <wp:extent cx="5190490" cy="180975"/>
            <wp:effectExtent l="0" t="0" r="0" b="0"/>
            <wp:docPr id="1039"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 name="Image1"/>
                    <pic:cNvPicPr/>
                  </pic:nvPicPr>
                  <pic:blipFill rotWithShape="true">
                    <a:blip r:embed="rId7" cstate="print">
                      <a:extLst>
                        <a:ext uri="{28A0092B-C50C-407E-A947-70E740481C1C}">
                          <a14:useLocalDpi xmlns:a14="http://schemas.microsoft.com/office/drawing/2010/main" val="0"/>
                        </a:ext>
                      </a:extLst>
                    </a:blip>
                    <a:srcRect l="0" t="0" r="0" b="0"/>
                    <a:stretch>
                      <a:fillRect/>
                    </a:stretch>
                  </pic:blipFill>
                  <pic:spPr>
                    <a:xfrm>
                      <a:off x="0" y="0"/>
                      <a:ext cx="5190490" cy="180975"/>
                    </a:xfrm>
                    <a:prstGeom prst="rect">
                      <a:avLst/>
                    </a:prstGeom>
                  </pic:spPr>
                </pic:pic>
              </a:graphicData>
            </a:graphic>
          </wp:inline>
        </w:drawing>
      </w:r>
      <w:r>
        <w:rPr>
          <w:rFonts w:ascii="Times New Roman" w:cs="Times New Roman" w:hAnsi="Times New Roman"/>
          <w:sz w:val="24"/>
          <w:szCs w:val="24"/>
        </w:rPr>
        <w:fldChar w:fldCharType="end"/>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Where, Y i</w:t>
      </w:r>
      <w:r>
        <w:rPr>
          <w:rFonts w:ascii="Times New Roman" w:cs="Times New Roman" w:hAnsi="Times New Roman"/>
          <w:sz w:val="24"/>
          <w:szCs w:val="24"/>
        </w:rPr>
        <w:t xml:space="preserve">s Dependent Variable And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w:t>
      </w:r>
      <w:r>
        <w:rPr>
          <w:rFonts w:ascii="Times New Roman" w:cs="Times New Roman" w:hAnsi="Times New Roman"/>
          <w:sz w:val="24"/>
          <w:szCs w:val="24"/>
        </w:rPr>
        <w:t xml:space="preserve">           X i</w:t>
      </w:r>
      <w:r>
        <w:rPr>
          <w:rFonts w:ascii="Times New Roman" w:cs="Times New Roman" w:hAnsi="Times New Roman"/>
          <w:sz w:val="24"/>
          <w:szCs w:val="24"/>
        </w:rPr>
        <w:t>s Independent Variable</w:t>
      </w:r>
    </w:p>
    <w:p>
      <w:pPr>
        <w:pStyle w:val="style0"/>
        <w:spacing w:lineRule="auto" w:line="360"/>
        <w:jc w:val="both"/>
        <w:rPr>
          <w:rFonts w:ascii="Times New Roman" w:cs="Times New Roman" w:hAnsi="Times New Roman"/>
          <w:bCs/>
          <w:sz w:val="24"/>
          <w:szCs w:val="24"/>
        </w:rPr>
      </w:pPr>
      <w:r>
        <w:rPr>
          <w:rFonts w:ascii="Times New Roman" w:cs="Times New Roman" w:hAnsi="Times New Roman"/>
          <w:bCs/>
          <w:sz w:val="24"/>
          <w:szCs w:val="24"/>
        </w:rPr>
        <w:t xml:space="preserve">Gender: </w:t>
      </w:r>
      <w:r>
        <w:rPr>
          <w:rFonts w:ascii="Times New Roman" w:cs="Times New Roman" w:hAnsi="Times New Roman"/>
          <w:sz w:val="24"/>
          <w:szCs w:val="24"/>
        </w:rPr>
        <w:t>The social and psychological characteristics associated with being male or female. Research indicates that gender may affect attitudes toward tax compliance, risk aversion, and moral considerations.</w:t>
      </w:r>
      <w:r>
        <w:rPr>
          <w:rFonts w:ascii="Times New Roman" w:cs="Times New Roman" w:hAnsi="Times New Roman"/>
          <w:bCs/>
          <w:sz w:val="24"/>
          <w:szCs w:val="24"/>
        </w:rPr>
        <w:t xml:space="preserve"> </w:t>
      </w:r>
      <w:r>
        <w:rPr>
          <w:rFonts w:ascii="Times New Roman" w:cs="Times New Roman" w:hAnsi="Times New Roman"/>
          <w:bCs/>
          <w:sz w:val="24"/>
          <w:szCs w:val="24"/>
        </w:rPr>
        <w:t xml:space="preserve">Age: </w:t>
      </w:r>
      <w:r>
        <w:rPr>
          <w:rFonts w:ascii="Times New Roman" w:cs="Times New Roman" w:hAnsi="Times New Roman"/>
          <w:sz w:val="24"/>
          <w:szCs w:val="24"/>
        </w:rPr>
        <w:t>The length of time a person has lived or existed.</w:t>
      </w:r>
      <w:r>
        <w:rPr>
          <w:rFonts w:ascii="Times New Roman" w:cs="Times New Roman" w:hAnsi="Times New Roman"/>
          <w:bCs/>
          <w:sz w:val="24"/>
          <w:szCs w:val="24"/>
        </w:rPr>
        <w:t xml:space="preserve"> </w:t>
      </w:r>
      <w:r>
        <w:rPr>
          <w:rFonts w:ascii="Times New Roman" w:cs="Times New Roman" w:hAnsi="Times New Roman"/>
          <w:sz w:val="24"/>
          <w:szCs w:val="24"/>
        </w:rPr>
        <w:t>Older individuals may have different perceptions of tax obligations based on experience and maturity, influencing compliance behavior.</w:t>
      </w:r>
      <w:r>
        <w:rPr>
          <w:rFonts w:ascii="Times New Roman" w:cs="Times New Roman" w:hAnsi="Times New Roman"/>
          <w:bCs/>
          <w:sz w:val="24"/>
          <w:szCs w:val="24"/>
        </w:rPr>
        <w:t xml:space="preserve"> </w:t>
      </w:r>
      <w:r>
        <w:rPr>
          <w:rFonts w:ascii="Times New Roman" w:cs="Times New Roman" w:hAnsi="Times New Roman"/>
          <w:bCs/>
          <w:sz w:val="24"/>
          <w:szCs w:val="24"/>
        </w:rPr>
        <w:t xml:space="preserve">Education: </w:t>
      </w:r>
      <w:r>
        <w:rPr>
          <w:rFonts w:ascii="Times New Roman" w:cs="Times New Roman" w:hAnsi="Times New Roman"/>
          <w:sz w:val="24"/>
          <w:szCs w:val="24"/>
        </w:rPr>
        <w:t>The level of formal schooling or training a person has received.</w:t>
      </w:r>
      <w:r>
        <w:rPr>
          <w:rFonts w:ascii="Times New Roman" w:cs="Times New Roman" w:hAnsi="Times New Roman"/>
          <w:bCs/>
          <w:sz w:val="24"/>
          <w:szCs w:val="24"/>
        </w:rPr>
        <w:t xml:space="preserve"> </w:t>
      </w:r>
      <w:r>
        <w:rPr>
          <w:rFonts w:ascii="Times New Roman" w:cs="Times New Roman" w:hAnsi="Times New Roman"/>
          <w:sz w:val="24"/>
          <w:szCs w:val="24"/>
        </w:rPr>
        <w:t>Higher education levels often correlate with better understanding of tax laws and benefits, leading to increased compliance.</w:t>
      </w:r>
    </w:p>
    <w:p>
      <w:pPr>
        <w:pStyle w:val="style0"/>
        <w:spacing w:lineRule="auto" w:line="360"/>
        <w:jc w:val="both"/>
        <w:rPr>
          <w:rFonts w:ascii="Times New Roman" w:cs="Times New Roman" w:hAnsi="Times New Roman"/>
          <w:bCs/>
          <w:sz w:val="24"/>
          <w:szCs w:val="24"/>
        </w:rPr>
      </w:pPr>
      <w:r>
        <w:rPr>
          <w:rFonts w:ascii="Times New Roman" w:cs="Times New Roman" w:hAnsi="Times New Roman"/>
          <w:bCs/>
          <w:sz w:val="24"/>
          <w:szCs w:val="24"/>
        </w:rPr>
        <w:t xml:space="preserve">Income: </w:t>
      </w:r>
      <w:r>
        <w:rPr>
          <w:rFonts w:ascii="Times New Roman" w:cs="Times New Roman" w:hAnsi="Times New Roman"/>
          <w:sz w:val="24"/>
          <w:szCs w:val="24"/>
        </w:rPr>
        <w:t>The monetary earnings received by an individual or entity.</w:t>
      </w:r>
      <w:r>
        <w:rPr>
          <w:rFonts w:ascii="Times New Roman" w:cs="Times New Roman" w:hAnsi="Times New Roman"/>
          <w:bCs/>
          <w:sz w:val="24"/>
          <w:szCs w:val="24"/>
        </w:rPr>
        <w:t xml:space="preserve"> </w:t>
      </w:r>
      <w:r>
        <w:rPr>
          <w:rFonts w:ascii="Times New Roman" w:cs="Times New Roman" w:hAnsi="Times New Roman"/>
          <w:sz w:val="24"/>
          <w:szCs w:val="24"/>
        </w:rPr>
        <w:t>Higher income individuals may have more resources to comply with tax obligations, but they might also be more likely to evade taxes due to the potential for greater financial gain.</w:t>
      </w:r>
      <w:r>
        <w:rPr>
          <w:rFonts w:ascii="Times New Roman" w:cs="Times New Roman" w:hAnsi="Times New Roman"/>
          <w:bCs/>
          <w:sz w:val="24"/>
          <w:szCs w:val="24"/>
        </w:rPr>
        <w:t xml:space="preserve"> </w:t>
      </w:r>
      <w:r>
        <w:rPr>
          <w:rFonts w:ascii="Times New Roman" w:cs="Times New Roman" w:hAnsi="Times New Roman"/>
          <w:bCs/>
          <w:sz w:val="24"/>
          <w:szCs w:val="24"/>
        </w:rPr>
        <w:t xml:space="preserve">Tax Audit: </w:t>
      </w:r>
      <w:r>
        <w:rPr>
          <w:rFonts w:ascii="Times New Roman" w:cs="Times New Roman" w:hAnsi="Times New Roman"/>
          <w:sz w:val="24"/>
          <w:szCs w:val="24"/>
        </w:rPr>
        <w:t xml:space="preserve">An examination of </w:t>
      </w:r>
      <w:r>
        <w:rPr>
          <w:rFonts w:ascii="Times New Roman" w:cs="Times New Roman" w:hAnsi="Times New Roman"/>
          <w:sz w:val="24"/>
          <w:szCs w:val="24"/>
        </w:rPr>
        <w:t>individuals</w:t>
      </w:r>
      <w:r>
        <w:rPr>
          <w:rFonts w:ascii="Times New Roman" w:cs="Times New Roman" w:hAnsi="Times New Roman"/>
          <w:sz w:val="24"/>
          <w:szCs w:val="24"/>
        </w:rPr>
        <w:t xml:space="preserve"> or entity's tax returns and finan</w:t>
      </w:r>
      <w:r>
        <w:rPr>
          <w:rFonts w:ascii="Times New Roman" w:cs="Times New Roman" w:hAnsi="Times New Roman"/>
          <w:sz w:val="24"/>
          <w:szCs w:val="24"/>
        </w:rPr>
        <w:t>cial records by tax authorities</w:t>
      </w:r>
      <w:r>
        <w:rPr>
          <w:rFonts w:ascii="Times New Roman" w:cs="Times New Roman" w:hAnsi="Times New Roman"/>
          <w:bCs/>
          <w:sz w:val="24"/>
          <w:szCs w:val="24"/>
        </w:rPr>
        <w:t xml:space="preserve"> </w:t>
      </w:r>
      <w:r>
        <w:rPr>
          <w:rFonts w:ascii="Times New Roman" w:cs="Times New Roman" w:hAnsi="Times New Roman"/>
          <w:sz w:val="24"/>
          <w:szCs w:val="24"/>
        </w:rPr>
        <w:t>the</w:t>
      </w:r>
      <w:r>
        <w:rPr>
          <w:rFonts w:ascii="Times New Roman" w:cs="Times New Roman" w:hAnsi="Times New Roman"/>
          <w:sz w:val="24"/>
          <w:szCs w:val="24"/>
        </w:rPr>
        <w:t xml:space="preserve"> likelihood of being audited can deter tax evasion, thus influencing compliance rates.</w:t>
      </w:r>
    </w:p>
    <w:p>
      <w:pPr>
        <w:pStyle w:val="style0"/>
        <w:spacing w:lineRule="auto" w:line="360"/>
        <w:jc w:val="both"/>
        <w:rPr>
          <w:rFonts w:ascii="Times New Roman" w:cs="Times New Roman" w:hAnsi="Times New Roman"/>
          <w:bCs/>
          <w:sz w:val="24"/>
          <w:szCs w:val="24"/>
        </w:rPr>
      </w:pPr>
      <w:r>
        <w:rPr>
          <w:rFonts w:ascii="Times New Roman" w:cs="Times New Roman" w:hAnsi="Times New Roman"/>
          <w:bCs/>
          <w:sz w:val="24"/>
          <w:szCs w:val="24"/>
        </w:rPr>
        <w:t>Government Spending</w:t>
      </w:r>
      <w:r>
        <w:rPr>
          <w:rFonts w:ascii="Times New Roman" w:cs="Times New Roman" w:hAnsi="Times New Roman"/>
          <w:bCs/>
          <w:sz w:val="24"/>
          <w:szCs w:val="24"/>
        </w:rPr>
        <w:t xml:space="preserve">: </w:t>
      </w:r>
      <w:r>
        <w:rPr>
          <w:rFonts w:ascii="Times New Roman" w:cs="Times New Roman" w:hAnsi="Times New Roman"/>
          <w:sz w:val="24"/>
          <w:szCs w:val="24"/>
        </w:rPr>
        <w:t>The total amount of money that a government spends on goods, services, and public projects.</w:t>
      </w:r>
      <w:r>
        <w:rPr>
          <w:rFonts w:ascii="Times New Roman" w:cs="Times New Roman" w:hAnsi="Times New Roman"/>
          <w:bCs/>
          <w:sz w:val="24"/>
          <w:szCs w:val="24"/>
        </w:rPr>
        <w:t xml:space="preserve"> </w:t>
      </w:r>
      <w:r>
        <w:rPr>
          <w:rFonts w:ascii="Times New Roman" w:cs="Times New Roman" w:hAnsi="Times New Roman"/>
          <w:sz w:val="24"/>
          <w:szCs w:val="24"/>
        </w:rPr>
        <w:t>When individuals perceive that tax revenues are being used effectively for public goods, they may be more inclined to comply.</w:t>
      </w:r>
      <w:r>
        <w:rPr>
          <w:rFonts w:ascii="Times New Roman" w:cs="Times New Roman" w:hAnsi="Times New Roman"/>
          <w:bCs/>
          <w:sz w:val="24"/>
          <w:szCs w:val="24"/>
        </w:rPr>
        <w:t xml:space="preserve"> </w:t>
      </w:r>
      <w:r>
        <w:rPr>
          <w:rFonts w:ascii="Times New Roman" w:cs="Times New Roman" w:hAnsi="Times New Roman"/>
          <w:bCs/>
          <w:sz w:val="24"/>
          <w:szCs w:val="24"/>
        </w:rPr>
        <w:t>Equal Fair</w:t>
      </w:r>
      <w:r>
        <w:rPr>
          <w:rFonts w:ascii="Times New Roman" w:cs="Times New Roman" w:hAnsi="Times New Roman"/>
          <w:bCs/>
          <w:sz w:val="24"/>
          <w:szCs w:val="24"/>
        </w:rPr>
        <w:t xml:space="preserve">: </w:t>
      </w:r>
      <w:r>
        <w:rPr>
          <w:rFonts w:ascii="Times New Roman" w:cs="Times New Roman" w:hAnsi="Times New Roman"/>
          <w:sz w:val="24"/>
          <w:szCs w:val="24"/>
        </w:rPr>
        <w:t>The perception of fairness in the tax system and its implementation.</w:t>
      </w:r>
      <w:r>
        <w:rPr>
          <w:rFonts w:ascii="Times New Roman" w:cs="Times New Roman" w:hAnsi="Times New Roman"/>
          <w:bCs/>
          <w:sz w:val="24"/>
          <w:szCs w:val="24"/>
        </w:rPr>
        <w:t xml:space="preserve"> </w:t>
      </w:r>
      <w:r>
        <w:rPr>
          <w:rFonts w:ascii="Times New Roman" w:cs="Times New Roman" w:hAnsi="Times New Roman"/>
          <w:sz w:val="24"/>
          <w:szCs w:val="24"/>
        </w:rPr>
        <w:t>A fair tax system is likely to enhance trust and compliance among taxpayers.</w:t>
      </w:r>
      <w:r>
        <w:rPr>
          <w:rFonts w:ascii="Times New Roman" w:cs="Times New Roman" w:hAnsi="Times New Roman"/>
          <w:bCs/>
          <w:sz w:val="24"/>
          <w:szCs w:val="24"/>
        </w:rPr>
        <w:t xml:space="preserve"> </w:t>
      </w:r>
      <w:r>
        <w:rPr>
          <w:rFonts w:ascii="Times New Roman" w:cs="Times New Roman" w:hAnsi="Times New Roman"/>
          <w:bCs/>
          <w:sz w:val="24"/>
          <w:szCs w:val="24"/>
        </w:rPr>
        <w:t>Government Policy</w:t>
      </w:r>
      <w:r>
        <w:rPr>
          <w:rFonts w:ascii="Times New Roman" w:cs="Times New Roman" w:hAnsi="Times New Roman"/>
          <w:bCs/>
          <w:sz w:val="24"/>
          <w:szCs w:val="24"/>
        </w:rPr>
        <w:t xml:space="preserve">: </w:t>
      </w:r>
      <w:r>
        <w:rPr>
          <w:rFonts w:ascii="Times New Roman" w:cs="Times New Roman" w:hAnsi="Times New Roman"/>
          <w:sz w:val="24"/>
          <w:szCs w:val="24"/>
        </w:rPr>
        <w:t>The decisions and actions taken by government regarding taxation and fiscal regulations.</w:t>
      </w:r>
      <w:r>
        <w:rPr>
          <w:rFonts w:ascii="Times New Roman" w:cs="Times New Roman" w:hAnsi="Times New Roman"/>
          <w:bCs/>
          <w:sz w:val="24"/>
          <w:szCs w:val="24"/>
        </w:rPr>
        <w:t xml:space="preserve"> </w:t>
      </w:r>
      <w:r>
        <w:rPr>
          <w:rFonts w:ascii="Times New Roman" w:cs="Times New Roman" w:hAnsi="Times New Roman"/>
          <w:sz w:val="24"/>
          <w:szCs w:val="24"/>
        </w:rPr>
        <w:t>Clear and consistent tax policies can facilitate compliance by reducing ambiguity and uncertainty.</w:t>
      </w:r>
    </w:p>
    <w:p>
      <w:pPr>
        <w:pStyle w:val="style0"/>
        <w:spacing w:lineRule="auto" w:line="360"/>
        <w:jc w:val="both"/>
        <w:rPr>
          <w:rFonts w:ascii="Times New Roman" w:cs="Times New Roman" w:hAnsi="Times New Roman"/>
          <w:bCs/>
          <w:sz w:val="24"/>
          <w:szCs w:val="24"/>
        </w:rPr>
      </w:pPr>
      <w:r>
        <w:rPr>
          <w:rFonts w:ascii="Times New Roman" w:cs="Times New Roman" w:hAnsi="Times New Roman"/>
          <w:bCs/>
          <w:sz w:val="24"/>
          <w:szCs w:val="24"/>
        </w:rPr>
        <w:t>Referral Group</w:t>
      </w:r>
      <w:r>
        <w:rPr>
          <w:rFonts w:ascii="Times New Roman" w:cs="Times New Roman" w:hAnsi="Times New Roman"/>
          <w:bCs/>
          <w:sz w:val="24"/>
          <w:szCs w:val="24"/>
        </w:rPr>
        <w:t xml:space="preserve">: </w:t>
      </w:r>
      <w:r>
        <w:rPr>
          <w:rFonts w:ascii="Times New Roman" w:cs="Times New Roman" w:hAnsi="Times New Roman"/>
          <w:sz w:val="24"/>
          <w:szCs w:val="24"/>
        </w:rPr>
        <w:t>Social groups or networks that influence individual behavior.</w:t>
      </w:r>
      <w:r>
        <w:rPr>
          <w:rFonts w:ascii="Times New Roman" w:cs="Times New Roman" w:hAnsi="Times New Roman"/>
          <w:bCs/>
          <w:sz w:val="24"/>
          <w:szCs w:val="24"/>
        </w:rPr>
        <w:t xml:space="preserve"> </w:t>
      </w:r>
      <w:r>
        <w:rPr>
          <w:rFonts w:ascii="Times New Roman" w:cs="Times New Roman" w:hAnsi="Times New Roman"/>
          <w:sz w:val="24"/>
          <w:szCs w:val="24"/>
        </w:rPr>
        <w:t>Peer influence can affect attitudes towards tax compliance; individuals may conform to the behaviors of their social circles.</w:t>
      </w:r>
      <w:r>
        <w:rPr>
          <w:rFonts w:ascii="Times New Roman" w:cs="Times New Roman" w:hAnsi="Times New Roman"/>
          <w:bCs/>
          <w:sz w:val="24"/>
          <w:szCs w:val="24"/>
        </w:rPr>
        <w:t xml:space="preserve"> </w:t>
      </w:r>
      <w:r>
        <w:rPr>
          <w:rFonts w:ascii="Times New Roman" w:cs="Times New Roman" w:hAnsi="Times New Roman"/>
          <w:bCs/>
          <w:sz w:val="24"/>
          <w:szCs w:val="24"/>
        </w:rPr>
        <w:t>Financial Constraint</w:t>
      </w:r>
      <w:r>
        <w:rPr>
          <w:rFonts w:ascii="Times New Roman" w:cs="Times New Roman" w:hAnsi="Times New Roman"/>
          <w:bCs/>
          <w:sz w:val="24"/>
          <w:szCs w:val="24"/>
        </w:rPr>
        <w:t xml:space="preserve">: </w:t>
      </w:r>
      <w:r>
        <w:rPr>
          <w:rFonts w:ascii="Times New Roman" w:cs="Times New Roman" w:hAnsi="Times New Roman"/>
          <w:sz w:val="24"/>
          <w:szCs w:val="24"/>
        </w:rPr>
        <w:t>Limitations on financial resources that affect an individual's ability to pay taxes.</w:t>
      </w:r>
      <w:r>
        <w:rPr>
          <w:rFonts w:ascii="Times New Roman" w:cs="Times New Roman" w:hAnsi="Times New Roman"/>
          <w:bCs/>
          <w:sz w:val="24"/>
          <w:szCs w:val="24"/>
        </w:rPr>
        <w:t xml:space="preserve"> </w:t>
      </w:r>
      <w:r>
        <w:rPr>
          <w:rFonts w:ascii="Times New Roman" w:cs="Times New Roman" w:hAnsi="Times New Roman"/>
          <w:sz w:val="24"/>
          <w:szCs w:val="24"/>
        </w:rPr>
        <w:t>Individuals facing financial difficulties may be less compliant due to the inability to meet tax obligations.</w:t>
      </w:r>
      <w:r>
        <w:rPr>
          <w:rFonts w:ascii="Times New Roman" w:cs="Times New Roman" w:hAnsi="Times New Roman"/>
          <w:bCs/>
          <w:sz w:val="24"/>
          <w:szCs w:val="24"/>
        </w:rPr>
        <w:t xml:space="preserve"> </w:t>
      </w:r>
      <w:r>
        <w:rPr>
          <w:rFonts w:ascii="Times New Roman" w:cs="Times New Roman" w:hAnsi="Times New Roman"/>
          <w:bCs/>
          <w:sz w:val="24"/>
          <w:szCs w:val="24"/>
        </w:rPr>
        <w:t>Awareness of Penalty and Offense</w:t>
      </w:r>
      <w:r>
        <w:rPr>
          <w:rFonts w:ascii="Times New Roman" w:cs="Times New Roman" w:hAnsi="Times New Roman"/>
          <w:bCs/>
          <w:sz w:val="24"/>
          <w:szCs w:val="24"/>
        </w:rPr>
        <w:t xml:space="preserve">: </w:t>
      </w:r>
      <w:r>
        <w:rPr>
          <w:rFonts w:ascii="Times New Roman" w:cs="Times New Roman" w:hAnsi="Times New Roman"/>
          <w:sz w:val="24"/>
          <w:szCs w:val="24"/>
        </w:rPr>
        <w:t>Knowledge of the consequences of failing to comply with tax laws.</w:t>
      </w:r>
      <w:r>
        <w:rPr>
          <w:rFonts w:ascii="Times New Roman" w:cs="Times New Roman" w:hAnsi="Times New Roman"/>
          <w:bCs/>
          <w:sz w:val="24"/>
          <w:szCs w:val="24"/>
        </w:rPr>
        <w:t xml:space="preserve"> </w:t>
      </w:r>
      <w:r>
        <w:rPr>
          <w:rFonts w:ascii="Times New Roman" w:cs="Times New Roman" w:hAnsi="Times New Roman"/>
          <w:sz w:val="24"/>
          <w:szCs w:val="24"/>
        </w:rPr>
        <w:t>Awareness of penalties can act as a deterrent against non-compliance, motivating individuals to adhere to tax regulations.</w:t>
      </w:r>
      <w:r>
        <w:rPr>
          <w:rFonts w:ascii="Times New Roman" w:cs="Times New Roman" w:hAnsi="Times New Roman"/>
          <w:bCs/>
          <w:sz w:val="24"/>
          <w:szCs w:val="24"/>
        </w:rPr>
        <w:t xml:space="preserve"> </w:t>
      </w:r>
      <w:r>
        <w:rPr>
          <w:rFonts w:ascii="Times New Roman" w:cs="Times New Roman" w:hAnsi="Times New Roman"/>
          <w:bCs/>
          <w:sz w:val="24"/>
          <w:szCs w:val="24"/>
        </w:rPr>
        <w:t>Tax Knowledge</w:t>
      </w:r>
      <w:r>
        <w:rPr>
          <w:rFonts w:ascii="Times New Roman" w:cs="Times New Roman" w:hAnsi="Times New Roman"/>
          <w:bCs/>
          <w:sz w:val="24"/>
          <w:szCs w:val="24"/>
        </w:rPr>
        <w:t xml:space="preserve">: </w:t>
      </w:r>
      <w:r>
        <w:rPr>
          <w:rFonts w:ascii="Times New Roman" w:cs="Times New Roman" w:hAnsi="Times New Roman"/>
          <w:sz w:val="24"/>
          <w:szCs w:val="24"/>
        </w:rPr>
        <w:t>Understanding of tax laws, regulations, and obligations.</w:t>
      </w:r>
      <w:r>
        <w:rPr>
          <w:rFonts w:ascii="Times New Roman" w:cs="Times New Roman" w:hAnsi="Times New Roman"/>
          <w:bCs/>
          <w:sz w:val="24"/>
          <w:szCs w:val="24"/>
        </w:rPr>
        <w:t xml:space="preserve"> </w:t>
      </w:r>
      <w:r>
        <w:rPr>
          <w:rFonts w:ascii="Times New Roman" w:cs="Times New Roman" w:hAnsi="Times New Roman"/>
          <w:sz w:val="24"/>
          <w:szCs w:val="24"/>
        </w:rPr>
        <w:t>Greater tax knowledge can lead to higher compliance rates, as individuals are better informed about their responsibilities and rights.</w:t>
      </w:r>
    </w:p>
    <w:bookmarkStart w:id="120" w:name="_Toc203285113"/>
    <w:bookmarkStart w:id="121" w:name="_Toc204249792"/>
    <w:p>
      <w:pPr>
        <w:pStyle w:val="style3"/>
        <w:rPr>
          <w:rFonts w:ascii="Times New Roman" w:cs="Times New Roman" w:hAnsi="Times New Roman"/>
          <w:color w:val="auto"/>
        </w:rPr>
      </w:pPr>
      <w:r>
        <w:rPr>
          <w:rFonts w:ascii="Times New Roman" w:cs="Times New Roman" w:hAnsi="Times New Roman"/>
          <w:color w:val="auto"/>
        </w:rPr>
        <w:t>3.10. Ethical consideration</w:t>
      </w:r>
      <w:bookmarkEnd w:id="120"/>
      <w:bookmarkEnd w:id="121"/>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This study was guided by the general rules of research ethics in such a way that respondents were requested to give information on the voluntary basis, and in manner that confidently of the information gave guarantee. Research instrument, the primary data was collected using a structured, closed ended and self-administrated five-point liker scale questioners. Liker scale was used as it enables to extract exact information from respondents on situation, they have already experienced.</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questionnaires were divided into three section, where section one consist of general information about the participant, section two covered question/ statement that points the factors affecting tax voluntary compliance behavior of tax payers, the questions was designed using a five liker scale of </w:t>
      </w:r>
      <w:r>
        <w:rPr>
          <w:rFonts w:ascii="Times New Roman" w:cs="Times New Roman" w:hAnsi="Times New Roman"/>
          <w:i/>
          <w:sz w:val="24"/>
          <w:szCs w:val="24"/>
        </w:rPr>
        <w:t xml:space="preserve">strongly agree, agree, neutral, disagree </w:t>
      </w:r>
      <w:r>
        <w:rPr>
          <w:rFonts w:ascii="Times New Roman" w:cs="Times New Roman" w:hAnsi="Times New Roman"/>
          <w:sz w:val="24"/>
          <w:szCs w:val="24"/>
        </w:rPr>
        <w:t>and</w:t>
      </w:r>
      <w:r>
        <w:rPr>
          <w:rFonts w:ascii="Times New Roman" w:cs="Times New Roman" w:hAnsi="Times New Roman"/>
          <w:i/>
          <w:sz w:val="24"/>
          <w:szCs w:val="24"/>
        </w:rPr>
        <w:t xml:space="preserve"> strongly disagree </w:t>
      </w:r>
      <w:r>
        <w:rPr>
          <w:rFonts w:ascii="Times New Roman" w:cs="Times New Roman" w:hAnsi="Times New Roman"/>
          <w:sz w:val="24"/>
          <w:szCs w:val="24"/>
        </w:rPr>
        <w:t>in such a way that a set of questions/statement were used to assess each of the variables to answer all the basic research questions of the current study.</w:t>
      </w: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p>
    <w:bookmarkStart w:id="122" w:name="_Toc130756453"/>
    <w:bookmarkStart w:id="123" w:name="_Toc167342544"/>
    <w:bookmarkStart w:id="124" w:name="_Toc204249793"/>
    <w:bookmarkStart w:id="125" w:name="_Toc98709925"/>
    <w:p>
      <w:pPr>
        <w:pStyle w:val="style1"/>
        <w:jc w:val="center"/>
        <w:rPr>
          <w:rFonts w:ascii="Times New Roman" w:cs="Times New Roman" w:hAnsi="Times New Roman"/>
          <w:color w:val="auto"/>
        </w:rPr>
      </w:pPr>
      <w:r>
        <w:rPr>
          <w:rFonts w:ascii="Times New Roman" w:cs="Times New Roman" w:hAnsi="Times New Roman"/>
          <w:color w:val="auto"/>
        </w:rPr>
        <w:t>CHAPTER FOUR</w:t>
      </w:r>
      <w:bookmarkEnd w:id="122"/>
      <w:bookmarkEnd w:id="123"/>
      <w:bookmarkEnd w:id="124"/>
    </w:p>
    <w:bookmarkStart w:id="126" w:name="_Toc130756454"/>
    <w:bookmarkStart w:id="127" w:name="_Toc167342545"/>
    <w:bookmarkStart w:id="128" w:name="_Toc204249794"/>
    <w:bookmarkEnd w:id="125"/>
    <w:p>
      <w:pPr>
        <w:pStyle w:val="style2"/>
        <w:rPr>
          <w:sz w:val="28"/>
        </w:rPr>
      </w:pPr>
      <w:r>
        <w:rPr>
          <w:sz w:val="28"/>
        </w:rPr>
        <w:t>4. RESULTS AND DISCUSSIONS</w:t>
      </w:r>
      <w:bookmarkEnd w:id="126"/>
      <w:bookmarkEnd w:id="127"/>
      <w:bookmarkEnd w:id="128"/>
    </w:p>
    <w:bookmarkStart w:id="129" w:name="_Toc204249795"/>
    <w:p>
      <w:pPr>
        <w:pStyle w:val="style3"/>
        <w:rPr>
          <w:rFonts w:ascii="Times New Roman" w:cs="Times New Roman" w:hAnsi="Times New Roman"/>
          <w:color w:val="auto"/>
          <w:sz w:val="24"/>
        </w:rPr>
      </w:pPr>
      <w:r>
        <w:rPr>
          <w:rFonts w:ascii="Times New Roman" w:cs="Times New Roman" w:hAnsi="Times New Roman"/>
          <w:color w:val="auto"/>
          <w:sz w:val="28"/>
        </w:rPr>
        <w:t xml:space="preserve">4.1. </w:t>
      </w:r>
      <w:r>
        <w:rPr>
          <w:rFonts w:ascii="Times New Roman" w:cs="Times New Roman" w:hAnsi="Times New Roman"/>
          <w:color w:val="auto"/>
          <w:sz w:val="28"/>
        </w:rPr>
        <w:t>Introduction</w:t>
      </w:r>
      <w:bookmarkEnd w:id="129"/>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This chapter describes the results of the study starting with respondents’ profile. The remaining part of this chapter will then be divided into the two sections: The first section covers descriptive analysis of determinants factors of tax compliance behavior and the seconded section presents inferential statistics analysis of dependent and independent variables. A total of 225 people accepted to be interviewed and answered the self-administrated Questionnaires and among these 180 respondents giving a response rate of 80% and not answered the self-administrated questionnaires and among or not responses are 45 giving rate of not responded 20%. The responses of taxpayers gathered through questionnaire were encoded in SPSS version 28 software.</w:t>
      </w:r>
    </w:p>
    <w:bookmarkStart w:id="130" w:name="_Toc203285116"/>
    <w:bookmarkStart w:id="131" w:name="_Toc204249796"/>
    <w:p>
      <w:pPr>
        <w:pStyle w:val="style3"/>
        <w:rPr>
          <w:rFonts w:ascii="Times New Roman" w:cs="Times New Roman" w:hAnsi="Times New Roman"/>
          <w:color w:val="auto"/>
          <w:sz w:val="24"/>
        </w:rPr>
      </w:pPr>
      <w:r>
        <w:rPr>
          <w:rFonts w:ascii="Times New Roman" w:cs="Times New Roman" w:hAnsi="Times New Roman"/>
          <w:color w:val="auto"/>
          <w:sz w:val="24"/>
        </w:rPr>
        <w:t xml:space="preserve">4.2. </w:t>
      </w:r>
      <w:r>
        <w:rPr>
          <w:rFonts w:ascii="Times New Roman" w:cs="Times New Roman" w:hAnsi="Times New Roman"/>
          <w:color w:val="auto"/>
          <w:sz w:val="24"/>
        </w:rPr>
        <w:t>Respondents general background</w:t>
      </w:r>
      <w:bookmarkEnd w:id="130"/>
      <w:bookmarkEnd w:id="131"/>
    </w:p>
    <w:bookmarkStart w:id="132" w:name="_Toc203285117"/>
    <w:p>
      <w:pPr>
        <w:pStyle w:val="style179"/>
        <w:numPr>
          <w:ilvl w:val="0"/>
          <w:numId w:val="3"/>
        </w:numPr>
        <w:rPr>
          <w:rFonts w:ascii="Times New Roman" w:cs="Times New Roman" w:hAnsi="Times New Roman"/>
          <w:b/>
          <w:sz w:val="24"/>
        </w:rPr>
      </w:pPr>
      <w:r>
        <w:rPr>
          <w:rFonts w:ascii="Times New Roman" w:cs="Times New Roman" w:hAnsi="Times New Roman"/>
          <w:b/>
          <w:sz w:val="24"/>
        </w:rPr>
        <w:t>Demographic Factors</w:t>
      </w:r>
      <w:bookmarkEnd w:id="132"/>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iCs/>
          <w:sz w:val="24"/>
          <w:szCs w:val="24"/>
        </w:rPr>
        <w:t>Compliant (Never) and non-compliant (very frequently, frequently, often, and sometimes) compliance attitudes were categorized because Never is considered as the cutoff point. Demographic characteristics are compiled again</w:t>
      </w:r>
      <w:r>
        <w:rPr>
          <w:rFonts w:ascii="Times New Roman" w:cs="Times New Roman" w:hAnsi="Times New Roman"/>
          <w:iCs/>
          <w:sz w:val="24"/>
          <w:szCs w:val="24"/>
        </w:rPr>
        <w:t>st compliance attitude in Table</w:t>
      </w:r>
      <w:r>
        <w:rPr>
          <w:rFonts w:ascii="Times New Roman" w:cs="Times New Roman" w:hAnsi="Times New Roman"/>
          <w:iCs/>
          <w:sz w:val="24"/>
          <w:szCs w:val="24"/>
        </w:rPr>
        <w:t xml:space="preserve"> 1. Tax compliance behavior may be influenced by demographic factors, as demonstrated by prior research. These include income level, gender, age, and overall educational attainment. In tax compliance research, these are the variables that are most frequently used (Devos, 2005). Figure 1 indicates that as tax payer’s age, their compliance attitude rises and they are more compliant than males. Conversely, as tax payers' educational attainment rises, so does the volume of complaints.</w:t>
      </w:r>
      <w:r>
        <w:rPr>
          <w:rFonts w:ascii="Times New Roman" w:cs="Times New Roman" w:hAnsi="Times New Roman"/>
          <w:sz w:val="24"/>
          <w:szCs w:val="24"/>
        </w:rPr>
        <w:t xml:space="preserve"> However, Level of income didn’t show linear relation with compliance attitude of</w:t>
      </w:r>
      <w:r>
        <w:rPr>
          <w:rFonts w:ascii="Times New Roman" w:cs="Times New Roman" w:hAnsi="Times New Roman"/>
          <w:sz w:val="24"/>
          <w:szCs w:val="24"/>
        </w:rPr>
        <w:t xml:space="preserve"> category “A” tax payers (Table</w:t>
      </w:r>
      <w:r>
        <w:rPr>
          <w:rFonts w:ascii="Times New Roman" w:cs="Times New Roman" w:hAnsi="Times New Roman"/>
          <w:sz w:val="24"/>
          <w:szCs w:val="24"/>
        </w:rPr>
        <w:t xml:space="preserve"> 7).</w:t>
      </w:r>
      <w:bookmarkStart w:id="133" w:name="_bookmark71"/>
      <w:bookmarkEnd w:id="133"/>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p>
    <w:bookmarkStart w:id="134" w:name="_Toc204175441"/>
    <w:p>
      <w:pPr>
        <w:pStyle w:val="style34"/>
        <w:rPr>
          <w:rFonts w:cs="Times New Roman"/>
          <w:i/>
          <w:iCs/>
          <w:szCs w:val="24"/>
        </w:rPr>
      </w:pPr>
      <w:r>
        <w:rPr>
          <w:rFonts w:cs="Times New Roman"/>
        </w:rPr>
        <w:t xml:space="preserve">Table </w:t>
      </w:r>
      <w:r>
        <w:rPr>
          <w:rFonts w:cs="Times New Roman"/>
        </w:rPr>
        <w:t>1</w:t>
      </w:r>
      <w:r>
        <w:rPr>
          <w:rFonts w:cs="Times New Roman"/>
        </w:rPr>
        <w:t>:</w:t>
      </w:r>
      <w:r>
        <w:rPr>
          <w:rFonts w:cs="Times New Roman"/>
          <w:szCs w:val="24"/>
        </w:rPr>
        <w:t xml:space="preserve"> Demographic factors</w:t>
      </w:r>
      <w:bookmarkEnd w:id="134"/>
    </w:p>
    <w:tbl>
      <w:tblPr>
        <w:tblW w:w="945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0"/>
        <w:gridCol w:w="2610"/>
        <w:gridCol w:w="2250"/>
        <w:gridCol w:w="1800"/>
        <w:gridCol w:w="1170"/>
      </w:tblGrid>
      <w:tr>
        <w:trPr/>
        <w:tc>
          <w:tcPr>
            <w:tcW w:w="4230" w:type="dxa"/>
            <w:gridSpan w:val="2"/>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 xml:space="preserve">Demographic factors </w:t>
            </w:r>
          </w:p>
        </w:tc>
        <w:tc>
          <w:tcPr>
            <w:tcW w:w="225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 xml:space="preserve">Tax compliance compliant </w:t>
            </w:r>
          </w:p>
        </w:tc>
        <w:tc>
          <w:tcPr>
            <w:tcW w:w="180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Not compliant</w:t>
            </w:r>
          </w:p>
        </w:tc>
        <w:tc>
          <w:tcPr>
            <w:tcW w:w="117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Total</w:t>
            </w:r>
          </w:p>
        </w:tc>
      </w:tr>
      <w:tr>
        <w:tblPrEx/>
        <w:trPr>
          <w:trHeight w:val="394" w:hRule="atLeast"/>
        </w:trPr>
        <w:tc>
          <w:tcPr>
            <w:tcW w:w="1620" w:type="dxa"/>
            <w:vMerge w:val="restart"/>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Gender</w:t>
            </w:r>
          </w:p>
        </w:tc>
        <w:tc>
          <w:tcPr>
            <w:tcW w:w="261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Male</w:t>
            </w:r>
          </w:p>
        </w:tc>
        <w:tc>
          <w:tcPr>
            <w:tcW w:w="225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9</w:t>
            </w:r>
          </w:p>
        </w:tc>
        <w:tc>
          <w:tcPr>
            <w:tcW w:w="180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84</w:t>
            </w:r>
          </w:p>
        </w:tc>
        <w:tc>
          <w:tcPr>
            <w:tcW w:w="117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93</w:t>
            </w:r>
          </w:p>
        </w:tc>
      </w:tr>
      <w:tr>
        <w:tblPrEx/>
        <w:trPr>
          <w:trHeight w:val="448" w:hRule="atLeast"/>
        </w:trPr>
        <w:tc>
          <w:tcPr>
            <w:tcW w:w="1620" w:type="dxa"/>
            <w:vMerge w:val="continue"/>
            <w:tcBorders/>
            <w:tcFitText w:val="false"/>
          </w:tcPr>
          <w:p>
            <w:pPr>
              <w:pStyle w:val="style0"/>
              <w:tabs>
                <w:tab w:val="left" w:leader="none" w:pos="7545"/>
              </w:tabs>
              <w:spacing w:lineRule="auto" w:line="24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Female</w:t>
            </w:r>
          </w:p>
        </w:tc>
        <w:tc>
          <w:tcPr>
            <w:tcW w:w="225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18</w:t>
            </w:r>
          </w:p>
        </w:tc>
        <w:tc>
          <w:tcPr>
            <w:tcW w:w="180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69</w:t>
            </w:r>
          </w:p>
        </w:tc>
        <w:tc>
          <w:tcPr>
            <w:tcW w:w="117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87</w:t>
            </w:r>
          </w:p>
        </w:tc>
      </w:tr>
      <w:tr>
        <w:tblPrEx/>
        <w:trPr>
          <w:trHeight w:val="421" w:hRule="atLeast"/>
        </w:trPr>
        <w:tc>
          <w:tcPr>
            <w:tcW w:w="1620" w:type="dxa"/>
            <w:vMerge w:val="continue"/>
            <w:tcBorders/>
            <w:tcFitText w:val="false"/>
          </w:tcPr>
          <w:p>
            <w:pPr>
              <w:pStyle w:val="style0"/>
              <w:tabs>
                <w:tab w:val="left" w:leader="none" w:pos="7545"/>
              </w:tabs>
              <w:spacing w:lineRule="auto" w:line="24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 xml:space="preserve">Total </w:t>
            </w:r>
          </w:p>
        </w:tc>
        <w:tc>
          <w:tcPr>
            <w:tcW w:w="225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27</w:t>
            </w:r>
          </w:p>
        </w:tc>
        <w:tc>
          <w:tcPr>
            <w:tcW w:w="180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153</w:t>
            </w:r>
          </w:p>
        </w:tc>
        <w:tc>
          <w:tcPr>
            <w:tcW w:w="117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180</w:t>
            </w:r>
          </w:p>
        </w:tc>
      </w:tr>
      <w:tr>
        <w:tblPrEx/>
        <w:trPr>
          <w:trHeight w:val="340" w:hRule="atLeast"/>
        </w:trPr>
        <w:tc>
          <w:tcPr>
            <w:tcW w:w="1620" w:type="dxa"/>
            <w:vMerge w:val="restart"/>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 xml:space="preserve">Age </w:t>
            </w:r>
          </w:p>
          <w:p>
            <w:pPr>
              <w:pStyle w:val="style0"/>
              <w:tabs>
                <w:tab w:val="left" w:leader="none" w:pos="7545"/>
              </w:tabs>
              <w:spacing w:lineRule="auto" w:line="240"/>
              <w:jc w:val="both"/>
              <w:rPr>
                <w:rFonts w:ascii="Times New Roman" w:cs="Times New Roman" w:hAnsi="Times New Roman"/>
                <w:sz w:val="24"/>
                <w:szCs w:val="24"/>
              </w:rPr>
            </w:pPr>
          </w:p>
          <w:p>
            <w:pPr>
              <w:pStyle w:val="style0"/>
              <w:tabs>
                <w:tab w:val="left" w:leader="none" w:pos="7545"/>
              </w:tabs>
              <w:spacing w:lineRule="auto" w:line="240"/>
              <w:jc w:val="both"/>
              <w:rPr>
                <w:rFonts w:ascii="Times New Roman" w:cs="Times New Roman" w:hAnsi="Times New Roman"/>
                <w:sz w:val="24"/>
                <w:szCs w:val="24"/>
              </w:rPr>
            </w:pPr>
          </w:p>
          <w:p>
            <w:pPr>
              <w:pStyle w:val="style0"/>
              <w:tabs>
                <w:tab w:val="left" w:leader="none" w:pos="7545"/>
              </w:tabs>
              <w:spacing w:lineRule="auto" w:line="240"/>
              <w:jc w:val="both"/>
              <w:rPr>
                <w:rFonts w:ascii="Times New Roman" w:cs="Times New Roman" w:hAnsi="Times New Roman"/>
                <w:sz w:val="24"/>
                <w:szCs w:val="24"/>
              </w:rPr>
            </w:pPr>
          </w:p>
          <w:p>
            <w:pPr>
              <w:pStyle w:val="style0"/>
              <w:tabs>
                <w:tab w:val="left" w:leader="none" w:pos="7545"/>
              </w:tabs>
              <w:spacing w:lineRule="auto" w:line="24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21-30</w:t>
            </w:r>
          </w:p>
        </w:tc>
        <w:tc>
          <w:tcPr>
            <w:tcW w:w="225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5</w:t>
            </w:r>
          </w:p>
        </w:tc>
        <w:tc>
          <w:tcPr>
            <w:tcW w:w="180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47</w:t>
            </w:r>
          </w:p>
        </w:tc>
        <w:tc>
          <w:tcPr>
            <w:tcW w:w="117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52</w:t>
            </w:r>
          </w:p>
        </w:tc>
      </w:tr>
      <w:tr>
        <w:tblPrEx/>
        <w:trPr/>
        <w:tc>
          <w:tcPr>
            <w:tcW w:w="1620" w:type="dxa"/>
            <w:vMerge w:val="continue"/>
            <w:tcBorders/>
            <w:tcFitText w:val="false"/>
          </w:tcPr>
          <w:p>
            <w:pPr>
              <w:pStyle w:val="style0"/>
              <w:tabs>
                <w:tab w:val="left" w:leader="none" w:pos="7545"/>
              </w:tabs>
              <w:spacing w:lineRule="auto" w:line="24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30-39</w:t>
            </w:r>
          </w:p>
        </w:tc>
        <w:tc>
          <w:tcPr>
            <w:tcW w:w="225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5</w:t>
            </w:r>
          </w:p>
        </w:tc>
        <w:tc>
          <w:tcPr>
            <w:tcW w:w="180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 xml:space="preserve">52 </w:t>
            </w:r>
          </w:p>
        </w:tc>
        <w:tc>
          <w:tcPr>
            <w:tcW w:w="117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57</w:t>
            </w:r>
          </w:p>
        </w:tc>
      </w:tr>
      <w:tr>
        <w:tblPrEx/>
        <w:trPr/>
        <w:tc>
          <w:tcPr>
            <w:tcW w:w="1620" w:type="dxa"/>
            <w:vMerge w:val="continue"/>
            <w:tcBorders/>
            <w:tcFitText w:val="false"/>
          </w:tcPr>
          <w:p>
            <w:pPr>
              <w:pStyle w:val="style0"/>
              <w:tabs>
                <w:tab w:val="left" w:leader="none" w:pos="7545"/>
              </w:tabs>
              <w:spacing w:lineRule="auto" w:line="24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40-49</w:t>
            </w:r>
          </w:p>
        </w:tc>
        <w:tc>
          <w:tcPr>
            <w:tcW w:w="225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5</w:t>
            </w:r>
          </w:p>
        </w:tc>
        <w:tc>
          <w:tcPr>
            <w:tcW w:w="180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37</w:t>
            </w:r>
          </w:p>
        </w:tc>
        <w:tc>
          <w:tcPr>
            <w:tcW w:w="117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42</w:t>
            </w:r>
          </w:p>
        </w:tc>
      </w:tr>
      <w:tr>
        <w:tblPrEx/>
        <w:trPr/>
        <w:tc>
          <w:tcPr>
            <w:tcW w:w="1620" w:type="dxa"/>
            <w:vMerge w:val="continue"/>
            <w:tcBorders/>
            <w:tcFitText w:val="false"/>
          </w:tcPr>
          <w:p>
            <w:pPr>
              <w:pStyle w:val="style0"/>
              <w:tabs>
                <w:tab w:val="left" w:leader="none" w:pos="7545"/>
              </w:tabs>
              <w:spacing w:lineRule="auto" w:line="24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Above 50</w:t>
            </w:r>
          </w:p>
        </w:tc>
        <w:tc>
          <w:tcPr>
            <w:tcW w:w="225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12</w:t>
            </w:r>
          </w:p>
        </w:tc>
        <w:tc>
          <w:tcPr>
            <w:tcW w:w="180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17</w:t>
            </w:r>
          </w:p>
        </w:tc>
        <w:tc>
          <w:tcPr>
            <w:tcW w:w="117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29</w:t>
            </w:r>
          </w:p>
        </w:tc>
      </w:tr>
      <w:tr>
        <w:tblPrEx/>
        <w:trPr>
          <w:trHeight w:val="394" w:hRule="atLeast"/>
        </w:trPr>
        <w:tc>
          <w:tcPr>
            <w:tcW w:w="1620" w:type="dxa"/>
            <w:vMerge w:val="continue"/>
            <w:tcBorders/>
            <w:tcFitText w:val="false"/>
          </w:tcPr>
          <w:p>
            <w:pPr>
              <w:pStyle w:val="style0"/>
              <w:tabs>
                <w:tab w:val="left" w:leader="none" w:pos="7545"/>
              </w:tabs>
              <w:spacing w:lineRule="auto" w:line="24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 xml:space="preserve">Total </w:t>
            </w:r>
          </w:p>
        </w:tc>
        <w:tc>
          <w:tcPr>
            <w:tcW w:w="225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 xml:space="preserve">27 </w:t>
            </w:r>
          </w:p>
        </w:tc>
        <w:tc>
          <w:tcPr>
            <w:tcW w:w="180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 xml:space="preserve">153 </w:t>
            </w:r>
          </w:p>
        </w:tc>
        <w:tc>
          <w:tcPr>
            <w:tcW w:w="117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180</w:t>
            </w:r>
          </w:p>
        </w:tc>
      </w:tr>
      <w:tr>
        <w:tblPrEx/>
        <w:trPr/>
        <w:tc>
          <w:tcPr>
            <w:tcW w:w="1620" w:type="dxa"/>
            <w:vMerge w:val="restart"/>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Educational level</w:t>
            </w:r>
          </w:p>
          <w:p>
            <w:pPr>
              <w:pStyle w:val="style0"/>
              <w:tabs>
                <w:tab w:val="left" w:leader="none" w:pos="7545"/>
              </w:tabs>
              <w:spacing w:lineRule="auto" w:line="24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10</w:t>
            </w:r>
            <w:r>
              <w:rPr>
                <w:rFonts w:ascii="Times New Roman" w:cs="Times New Roman" w:hAnsi="Times New Roman"/>
                <w:sz w:val="24"/>
                <w:szCs w:val="24"/>
                <w:vertAlign w:val="superscript"/>
              </w:rPr>
              <w:t>th</w:t>
            </w:r>
            <w:r>
              <w:rPr>
                <w:rFonts w:ascii="Times New Roman" w:cs="Times New Roman" w:hAnsi="Times New Roman"/>
                <w:sz w:val="24"/>
                <w:szCs w:val="24"/>
              </w:rPr>
              <w:t>/ 12</w:t>
            </w:r>
            <w:r>
              <w:rPr>
                <w:rFonts w:ascii="Times New Roman" w:cs="Times New Roman" w:hAnsi="Times New Roman"/>
                <w:sz w:val="24"/>
                <w:szCs w:val="24"/>
                <w:vertAlign w:val="superscript"/>
              </w:rPr>
              <w:t>th</w:t>
            </w:r>
            <w:r>
              <w:rPr>
                <w:rFonts w:ascii="Times New Roman" w:cs="Times New Roman" w:hAnsi="Times New Roman"/>
                <w:sz w:val="24"/>
                <w:szCs w:val="24"/>
              </w:rPr>
              <w:t xml:space="preserve"> complete</w:t>
            </w:r>
          </w:p>
        </w:tc>
        <w:tc>
          <w:tcPr>
            <w:tcW w:w="225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7</w:t>
            </w:r>
          </w:p>
        </w:tc>
        <w:tc>
          <w:tcPr>
            <w:tcW w:w="180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21</w:t>
            </w:r>
          </w:p>
        </w:tc>
        <w:tc>
          <w:tcPr>
            <w:tcW w:w="117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28</w:t>
            </w:r>
          </w:p>
        </w:tc>
      </w:tr>
      <w:tr>
        <w:tblPrEx/>
        <w:trPr/>
        <w:tc>
          <w:tcPr>
            <w:tcW w:w="1620" w:type="dxa"/>
            <w:vMerge w:val="continue"/>
            <w:tcBorders/>
            <w:tcFitText w:val="false"/>
          </w:tcPr>
          <w:p>
            <w:pPr>
              <w:pStyle w:val="style0"/>
              <w:tabs>
                <w:tab w:val="left" w:leader="none" w:pos="7545"/>
              </w:tabs>
              <w:spacing w:lineRule="auto" w:line="24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 xml:space="preserve">Diploma </w:t>
            </w:r>
          </w:p>
        </w:tc>
        <w:tc>
          <w:tcPr>
            <w:tcW w:w="225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2</w:t>
            </w:r>
          </w:p>
        </w:tc>
        <w:tc>
          <w:tcPr>
            <w:tcW w:w="180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35</w:t>
            </w:r>
          </w:p>
        </w:tc>
        <w:tc>
          <w:tcPr>
            <w:tcW w:w="117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37</w:t>
            </w:r>
          </w:p>
        </w:tc>
      </w:tr>
      <w:tr>
        <w:tblPrEx/>
        <w:trPr/>
        <w:tc>
          <w:tcPr>
            <w:tcW w:w="1620" w:type="dxa"/>
            <w:vMerge w:val="continue"/>
            <w:tcBorders/>
            <w:tcFitText w:val="false"/>
          </w:tcPr>
          <w:p>
            <w:pPr>
              <w:pStyle w:val="style0"/>
              <w:tabs>
                <w:tab w:val="left" w:leader="none" w:pos="7545"/>
              </w:tabs>
              <w:spacing w:lineRule="auto" w:line="24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Degree</w:t>
            </w:r>
          </w:p>
        </w:tc>
        <w:tc>
          <w:tcPr>
            <w:tcW w:w="225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5</w:t>
            </w:r>
          </w:p>
        </w:tc>
        <w:tc>
          <w:tcPr>
            <w:tcW w:w="180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69</w:t>
            </w:r>
          </w:p>
        </w:tc>
        <w:tc>
          <w:tcPr>
            <w:tcW w:w="117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74</w:t>
            </w:r>
          </w:p>
        </w:tc>
      </w:tr>
      <w:tr>
        <w:tblPrEx/>
        <w:trPr/>
        <w:tc>
          <w:tcPr>
            <w:tcW w:w="1620" w:type="dxa"/>
            <w:vMerge w:val="continue"/>
            <w:tcBorders/>
            <w:tcFitText w:val="false"/>
          </w:tcPr>
          <w:p>
            <w:pPr>
              <w:pStyle w:val="style0"/>
              <w:tabs>
                <w:tab w:val="left" w:leader="none" w:pos="7545"/>
              </w:tabs>
              <w:spacing w:lineRule="auto" w:line="24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2</w:t>
            </w:r>
            <w:r>
              <w:rPr>
                <w:rFonts w:ascii="Times New Roman" w:cs="Times New Roman" w:hAnsi="Times New Roman"/>
                <w:sz w:val="24"/>
                <w:szCs w:val="24"/>
                <w:vertAlign w:val="superscript"/>
              </w:rPr>
              <w:t>nd</w:t>
            </w:r>
            <w:r>
              <w:rPr>
                <w:rFonts w:ascii="Times New Roman" w:cs="Times New Roman" w:hAnsi="Times New Roman"/>
                <w:sz w:val="24"/>
                <w:szCs w:val="24"/>
              </w:rPr>
              <w:t xml:space="preserve"> degree and above </w:t>
            </w:r>
          </w:p>
        </w:tc>
        <w:tc>
          <w:tcPr>
            <w:tcW w:w="225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13</w:t>
            </w:r>
          </w:p>
        </w:tc>
        <w:tc>
          <w:tcPr>
            <w:tcW w:w="180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28</w:t>
            </w:r>
          </w:p>
        </w:tc>
        <w:tc>
          <w:tcPr>
            <w:tcW w:w="117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41</w:t>
            </w:r>
          </w:p>
        </w:tc>
      </w:tr>
      <w:tr>
        <w:tblPrEx/>
        <w:trPr/>
        <w:tc>
          <w:tcPr>
            <w:tcW w:w="1620" w:type="dxa"/>
            <w:vMerge w:val="continue"/>
            <w:tcBorders/>
            <w:tcFitText w:val="false"/>
          </w:tcPr>
          <w:p>
            <w:pPr>
              <w:pStyle w:val="style0"/>
              <w:tabs>
                <w:tab w:val="left" w:leader="none" w:pos="7545"/>
              </w:tabs>
              <w:spacing w:lineRule="auto" w:line="24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 xml:space="preserve">Total </w:t>
            </w:r>
          </w:p>
        </w:tc>
        <w:tc>
          <w:tcPr>
            <w:tcW w:w="225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 xml:space="preserve">27  </w:t>
            </w:r>
          </w:p>
        </w:tc>
        <w:tc>
          <w:tcPr>
            <w:tcW w:w="180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153</w:t>
            </w:r>
          </w:p>
        </w:tc>
        <w:tc>
          <w:tcPr>
            <w:tcW w:w="117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180</w:t>
            </w:r>
          </w:p>
        </w:tc>
      </w:tr>
      <w:tr>
        <w:tblPrEx/>
        <w:trPr/>
        <w:tc>
          <w:tcPr>
            <w:tcW w:w="1620" w:type="dxa"/>
            <w:vMerge w:val="restart"/>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 xml:space="preserve">Annual sales </w:t>
            </w:r>
          </w:p>
        </w:tc>
        <w:tc>
          <w:tcPr>
            <w:tcW w:w="261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 xml:space="preserve">1000,000 – 3000,000 </w:t>
            </w:r>
          </w:p>
        </w:tc>
        <w:tc>
          <w:tcPr>
            <w:tcW w:w="225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7</w:t>
            </w:r>
          </w:p>
        </w:tc>
        <w:tc>
          <w:tcPr>
            <w:tcW w:w="180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43</w:t>
            </w:r>
          </w:p>
        </w:tc>
        <w:tc>
          <w:tcPr>
            <w:tcW w:w="117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29</w:t>
            </w:r>
          </w:p>
        </w:tc>
      </w:tr>
      <w:tr>
        <w:tblPrEx/>
        <w:trPr/>
        <w:tc>
          <w:tcPr>
            <w:tcW w:w="1620" w:type="dxa"/>
            <w:vMerge w:val="continue"/>
            <w:tcBorders/>
            <w:tcFitText w:val="false"/>
          </w:tcPr>
          <w:p>
            <w:pPr>
              <w:pStyle w:val="style0"/>
              <w:tabs>
                <w:tab w:val="left" w:leader="none" w:pos="7545"/>
              </w:tabs>
              <w:spacing w:lineRule="auto" w:line="24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 xml:space="preserve">3000,001- 6000,000 </w:t>
            </w:r>
          </w:p>
        </w:tc>
        <w:tc>
          <w:tcPr>
            <w:tcW w:w="225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7</w:t>
            </w:r>
          </w:p>
        </w:tc>
        <w:tc>
          <w:tcPr>
            <w:tcW w:w="180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45</w:t>
            </w:r>
          </w:p>
        </w:tc>
        <w:tc>
          <w:tcPr>
            <w:tcW w:w="117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30</w:t>
            </w:r>
          </w:p>
        </w:tc>
      </w:tr>
      <w:tr>
        <w:tblPrEx/>
        <w:trPr/>
        <w:tc>
          <w:tcPr>
            <w:tcW w:w="1620" w:type="dxa"/>
            <w:vMerge w:val="continue"/>
            <w:tcBorders/>
            <w:tcFitText w:val="false"/>
          </w:tcPr>
          <w:p>
            <w:pPr>
              <w:pStyle w:val="style0"/>
              <w:tabs>
                <w:tab w:val="left" w:leader="none" w:pos="7545"/>
              </w:tabs>
              <w:spacing w:lineRule="auto" w:line="24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 xml:space="preserve">6000,001- 10,000,000 </w:t>
            </w:r>
          </w:p>
        </w:tc>
        <w:tc>
          <w:tcPr>
            <w:tcW w:w="225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11</w:t>
            </w:r>
          </w:p>
        </w:tc>
        <w:tc>
          <w:tcPr>
            <w:tcW w:w="180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28</w:t>
            </w:r>
          </w:p>
        </w:tc>
        <w:tc>
          <w:tcPr>
            <w:tcW w:w="117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22</w:t>
            </w:r>
          </w:p>
        </w:tc>
      </w:tr>
      <w:tr>
        <w:tblPrEx/>
        <w:trPr/>
        <w:tc>
          <w:tcPr>
            <w:tcW w:w="1620" w:type="dxa"/>
            <w:vMerge w:val="continue"/>
            <w:tcBorders/>
            <w:tcFitText w:val="false"/>
          </w:tcPr>
          <w:p>
            <w:pPr>
              <w:pStyle w:val="style0"/>
              <w:tabs>
                <w:tab w:val="left" w:leader="none" w:pos="7545"/>
              </w:tabs>
              <w:spacing w:lineRule="auto" w:line="24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 xml:space="preserve">Above  10 million </w:t>
            </w:r>
          </w:p>
        </w:tc>
        <w:tc>
          <w:tcPr>
            <w:tcW w:w="225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2</w:t>
            </w:r>
          </w:p>
        </w:tc>
        <w:tc>
          <w:tcPr>
            <w:tcW w:w="180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 xml:space="preserve">37 </w:t>
            </w:r>
          </w:p>
        </w:tc>
        <w:tc>
          <w:tcPr>
            <w:tcW w:w="117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22</w:t>
            </w:r>
          </w:p>
        </w:tc>
      </w:tr>
      <w:tr>
        <w:tblPrEx/>
        <w:trPr>
          <w:trHeight w:val="367" w:hRule="atLeast"/>
        </w:trPr>
        <w:tc>
          <w:tcPr>
            <w:tcW w:w="1620" w:type="dxa"/>
            <w:vMerge w:val="continue"/>
            <w:tcBorders/>
            <w:tcFitText w:val="false"/>
          </w:tcPr>
          <w:p>
            <w:pPr>
              <w:pStyle w:val="style0"/>
              <w:tabs>
                <w:tab w:val="left" w:leader="none" w:pos="7545"/>
              </w:tabs>
              <w:spacing w:lineRule="auto" w:line="24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 xml:space="preserve">Total </w:t>
            </w:r>
          </w:p>
        </w:tc>
        <w:tc>
          <w:tcPr>
            <w:tcW w:w="225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27</w:t>
            </w:r>
          </w:p>
        </w:tc>
        <w:tc>
          <w:tcPr>
            <w:tcW w:w="180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153</w:t>
            </w:r>
          </w:p>
        </w:tc>
        <w:tc>
          <w:tcPr>
            <w:tcW w:w="1170" w:type="dxa"/>
            <w:tcBorders/>
            <w:tcFitText w:val="false"/>
          </w:tcPr>
          <w:p>
            <w:pPr>
              <w:pStyle w:val="style0"/>
              <w:tabs>
                <w:tab w:val="left" w:leader="none" w:pos="7545"/>
              </w:tabs>
              <w:spacing w:lineRule="auto" w:line="240"/>
              <w:jc w:val="both"/>
              <w:rPr>
                <w:rFonts w:ascii="Times New Roman" w:cs="Times New Roman" w:hAnsi="Times New Roman"/>
                <w:sz w:val="24"/>
                <w:szCs w:val="24"/>
              </w:rPr>
            </w:pPr>
            <w:r>
              <w:rPr>
                <w:rFonts w:ascii="Times New Roman" w:cs="Times New Roman" w:hAnsi="Times New Roman"/>
                <w:sz w:val="24"/>
                <w:szCs w:val="24"/>
              </w:rPr>
              <w:t>180</w:t>
            </w:r>
          </w:p>
        </w:tc>
      </w:tr>
    </w:tbl>
    <w:p>
      <w:pPr>
        <w:pStyle w:val="style0"/>
        <w:tabs>
          <w:tab w:val="left" w:leader="none" w:pos="7545"/>
        </w:tabs>
        <w:spacing w:lineRule="auto" w:line="360"/>
        <w:jc w:val="both"/>
        <w:rPr>
          <w:rFonts w:ascii="Times New Roman" w:cs="Times New Roman" w:hAnsi="Times New Roman"/>
          <w:sz w:val="24"/>
          <w:szCs w:val="24"/>
          <w:lang w:val="en-GB"/>
        </w:rPr>
      </w:pPr>
      <w:r>
        <w:rPr>
          <w:rFonts w:ascii="Times New Roman" w:cs="Times New Roman" w:hAnsi="Times New Roman"/>
          <w:b/>
          <w:sz w:val="24"/>
          <w:szCs w:val="24"/>
        </w:rPr>
        <w:t xml:space="preserve">  </w:t>
      </w:r>
      <w:r>
        <w:rPr>
          <w:rFonts w:ascii="Times New Roman" w:cs="Times New Roman" w:hAnsi="Times New Roman"/>
          <w:sz w:val="24"/>
          <w:szCs w:val="24"/>
          <w:lang w:val="en-GB"/>
        </w:rPr>
        <w:t>Source: Survey Result (2025)</w:t>
      </w:r>
    </w:p>
    <w:bookmarkStart w:id="135" w:name="_Toc203285118"/>
    <w:p>
      <w:pPr>
        <w:pStyle w:val="style179"/>
        <w:numPr>
          <w:ilvl w:val="0"/>
          <w:numId w:val="3"/>
        </w:numPr>
        <w:rPr>
          <w:rFonts w:ascii="Times New Roman" w:cs="Times New Roman" w:hAnsi="Times New Roman"/>
          <w:b/>
          <w:sz w:val="24"/>
        </w:rPr>
      </w:pPr>
      <w:r>
        <w:rPr>
          <w:rFonts w:ascii="Times New Roman" w:cs="Times New Roman" w:hAnsi="Times New Roman"/>
          <w:b/>
          <w:sz w:val="24"/>
        </w:rPr>
        <w:t>Gender of Respondents</w:t>
      </w:r>
      <w:bookmarkEnd w:id="135"/>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This section describes respondents’ general information such as gender, age, educational level and income level.</w:t>
      </w:r>
      <w:r>
        <w:rPr>
          <w:rFonts w:ascii="Times New Roman" w:cs="Times New Roman" w:hAnsi="Times New Roman"/>
          <w:sz w:val="24"/>
          <w:szCs w:val="24"/>
        </w:rPr>
        <w:t xml:space="preserve"> </w:t>
      </w:r>
      <w:r>
        <w:rPr>
          <w:rFonts w:ascii="Times New Roman" w:cs="Times New Roman" w:hAnsi="Times New Roman"/>
          <w:sz w:val="24"/>
          <w:szCs w:val="24"/>
        </w:rPr>
        <w:t>Table 1 illustrates gender of respondents which shows that 93% of the respondents were males and 87% were females. These shows that the majority of Category “A” tax payers’ are males (Table 1).</w:t>
      </w:r>
    </w:p>
    <w:bookmarkStart w:id="136" w:name="_Toc203285127"/>
    <w:bookmarkStart w:id="137" w:name="_Toc204243681"/>
    <w:p>
      <w:pPr>
        <w:pStyle w:val="style34"/>
        <w:rPr>
          <w:rFonts w:cs="Times New Roman"/>
        </w:rPr>
      </w:pPr>
      <w:r>
        <w:rPr>
          <w:rFonts w:cs="Times New Roman"/>
        </w:rPr>
        <w:t xml:space="preserve">Figure </w:t>
      </w:r>
      <w:r>
        <w:rPr>
          <w:rFonts w:cs="Times New Roman"/>
        </w:rPr>
        <w:fldChar w:fldCharType="begin"/>
      </w:r>
      <w:r>
        <w:rPr>
          <w:rFonts w:cs="Times New Roman"/>
        </w:rPr>
        <w:instrText xml:space="preserve"> SEQ Figure \* ARABIC </w:instrText>
      </w:r>
      <w:r>
        <w:rPr>
          <w:rFonts w:cs="Times New Roman"/>
        </w:rPr>
        <w:fldChar w:fldCharType="separate"/>
      </w:r>
      <w:r>
        <w:rPr>
          <w:rFonts w:cs="Times New Roman"/>
          <w:noProof/>
        </w:rPr>
        <w:t>1</w:t>
      </w:r>
      <w:r>
        <w:rPr>
          <w:rFonts w:cs="Times New Roman"/>
        </w:rPr>
        <w:fldChar w:fldCharType="end"/>
      </w:r>
      <w:r>
        <w:rPr>
          <w:rFonts w:cs="Times New Roman"/>
        </w:rPr>
        <w:t>: Respondent</w:t>
      </w:r>
      <w:r>
        <w:rPr>
          <w:rFonts w:cs="Times New Roman"/>
        </w:rPr>
        <w:t xml:space="preserve"> general back ground –gender</w:t>
      </w:r>
      <w:bookmarkEnd w:id="136"/>
      <w:bookmarkEnd w:id="137"/>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noProof/>
          <w:sz w:val="24"/>
          <w:szCs w:val="24"/>
        </w:rPr>
        <w:drawing>
          <wp:inline distT="0" distB="0" distL="0" distR="0">
            <wp:extent cx="5262245" cy="1828800"/>
            <wp:effectExtent l="0" t="0" r="0" b="0"/>
            <wp:docPr id="1040"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3" name="_x0000_t75"/>
                    <pic:cNvPicPr/>
                  </pic:nvPicPr>
                  <pic:blipFill rotWithShape="true">
                    <a:blip r:embed="rId8" cstate="print">
                      <a:extLst>
                        <a:ext uri="{28A0092B-C50C-407E-A947-70E740481C1C}">
                          <a14:useLocalDpi xmlns:a14="http://schemas.microsoft.com/office/drawing/2010/main" val="0"/>
                        </a:ext>
                      </a:extLst>
                    </a:blip>
                    <a:srcRect l="0" t="0" r="0" b="0"/>
                    <a:stretch>
                      <a:fillRect/>
                    </a:stretch>
                  </pic:blipFill>
                  <pic:spPr>
                    <a:xfrm>
                      <a:off x="0" y="0"/>
                      <a:ext cx="5262245" cy="1828800"/>
                    </a:xfrm>
                    <a:prstGeom prst="rect">
                      <a:avLst/>
                    </a:prstGeom>
                  </pic:spPr>
                </pic:pic>
              </a:graphicData>
            </a:graphic>
          </wp:inline>
        </w:drawing>
      </w:r>
    </w:p>
    <w:bookmarkStart w:id="138" w:name="_Toc204175442"/>
    <w:p>
      <w:pPr>
        <w:pStyle w:val="style34"/>
        <w:rPr>
          <w:rFonts w:cs="Times New Roman"/>
          <w:szCs w:val="24"/>
        </w:rPr>
      </w:pPr>
      <w:r>
        <w:rPr>
          <w:rFonts w:cs="Times New Roman"/>
        </w:rPr>
        <w:t xml:space="preserve">Table </w:t>
      </w:r>
      <w:r>
        <w:rPr>
          <w:rFonts w:cs="Times New Roman"/>
        </w:rPr>
        <w:t>2</w:t>
      </w:r>
      <w:r>
        <w:rPr>
          <w:rFonts w:cs="Times New Roman"/>
        </w:rPr>
        <w:t xml:space="preserve">: </w:t>
      </w:r>
      <w:r>
        <w:rPr>
          <w:rFonts w:cs="Times New Roman"/>
          <w:szCs w:val="24"/>
        </w:rPr>
        <w:t>Gender of Respondent</w:t>
      </w:r>
      <w:bookmarkEnd w:id="138"/>
    </w:p>
    <w:tbl>
      <w:tblPr>
        <w:tblW w:w="693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0"/>
        <w:gridCol w:w="1800"/>
        <w:gridCol w:w="2250"/>
        <w:gridCol w:w="2070"/>
      </w:tblGrid>
      <w:tr>
        <w:trPr/>
        <w:tc>
          <w:tcPr>
            <w:tcW w:w="6930" w:type="dxa"/>
            <w:gridSpan w:val="4"/>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b/>
                <w:bCs/>
                <w:sz w:val="24"/>
                <w:szCs w:val="24"/>
              </w:rPr>
              <w:t>Gender</w:t>
            </w:r>
          </w:p>
        </w:tc>
      </w:tr>
      <w:tr>
        <w:tblPrEx/>
        <w:trPr/>
        <w:tc>
          <w:tcPr>
            <w:tcW w:w="2610" w:type="dxa"/>
            <w:gridSpan w:val="2"/>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Variable </w:t>
            </w:r>
          </w:p>
        </w:tc>
        <w:tc>
          <w:tcPr>
            <w:tcW w:w="22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Frequency</w:t>
            </w:r>
          </w:p>
        </w:tc>
        <w:tc>
          <w:tcPr>
            <w:tcW w:w="207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Percent</w:t>
            </w:r>
          </w:p>
        </w:tc>
      </w:tr>
      <w:tr>
        <w:tblPrEx/>
        <w:trPr/>
        <w:tc>
          <w:tcPr>
            <w:tcW w:w="810" w:type="dxa"/>
            <w:vMerge w:val="restart"/>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Sex  </w:t>
            </w:r>
          </w:p>
        </w:tc>
        <w:tc>
          <w:tcPr>
            <w:tcW w:w="18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Male</w:t>
            </w:r>
          </w:p>
        </w:tc>
        <w:tc>
          <w:tcPr>
            <w:tcW w:w="22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93</w:t>
            </w:r>
          </w:p>
        </w:tc>
        <w:tc>
          <w:tcPr>
            <w:tcW w:w="207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51.67 </w:t>
            </w:r>
          </w:p>
        </w:tc>
      </w:tr>
      <w:tr>
        <w:tblPrEx/>
        <w:trPr/>
        <w:tc>
          <w:tcPr>
            <w:tcW w:w="810" w:type="dxa"/>
            <w:vMerge w:val="continue"/>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18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Female</w:t>
            </w:r>
          </w:p>
        </w:tc>
        <w:tc>
          <w:tcPr>
            <w:tcW w:w="22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87</w:t>
            </w:r>
          </w:p>
        </w:tc>
        <w:tc>
          <w:tcPr>
            <w:tcW w:w="207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48.33 </w:t>
            </w:r>
          </w:p>
        </w:tc>
      </w:tr>
      <w:tr>
        <w:tblPrEx/>
        <w:trPr/>
        <w:tc>
          <w:tcPr>
            <w:tcW w:w="810" w:type="dxa"/>
            <w:vMerge w:val="continue"/>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18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Total</w:t>
            </w:r>
          </w:p>
        </w:tc>
        <w:tc>
          <w:tcPr>
            <w:tcW w:w="22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180 </w:t>
            </w:r>
          </w:p>
        </w:tc>
        <w:tc>
          <w:tcPr>
            <w:tcW w:w="207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100 </w:t>
            </w:r>
          </w:p>
        </w:tc>
      </w:tr>
    </w:tbl>
    <w:p>
      <w:pPr>
        <w:pStyle w:val="style0"/>
        <w:tabs>
          <w:tab w:val="left" w:leader="none" w:pos="7545"/>
        </w:tabs>
        <w:spacing w:lineRule="auto" w:line="360"/>
        <w:jc w:val="both"/>
        <w:rPr>
          <w:rFonts w:ascii="Times New Roman" w:cs="Times New Roman" w:hAnsi="Times New Roman"/>
          <w:sz w:val="24"/>
          <w:szCs w:val="24"/>
          <w:lang w:val="en-GB"/>
        </w:rPr>
      </w:pPr>
      <w:r>
        <w:rPr>
          <w:rFonts w:ascii="Times New Roman" w:cs="Times New Roman" w:hAnsi="Times New Roman"/>
          <w:sz w:val="24"/>
          <w:szCs w:val="24"/>
          <w:lang w:val="en-GB"/>
        </w:rPr>
        <w:t>Source: Survey Result (2025)</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Figure 2 shows the age groups of the respondents. Since the study emphasized business taxpayers, a minimum age of 20 years old was considered as reasonable. There were four age groups involved in this study with a 10-year range in each group except for above 60 years old. The largest group of the respondents was between age of 20 –29and 40 –49; both having 23.33% and 23.33% respectively. The next large group was between the ages of 30 – 39 representing31.67% of the total respondents. Respondents in the group of above 60 years old were the lowest number with responses 16.11%. Generally, respondents within the age group of 20 and 39 made up with 60.56% of the total respondents (Table 3).</w:t>
      </w:r>
      <w:bookmarkStart w:id="139" w:name="_bookmark65"/>
      <w:bookmarkEnd w:id="139"/>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p>
    <w:bookmarkStart w:id="140" w:name="_Toc203285128"/>
    <w:bookmarkStart w:id="141" w:name="_Toc204243682"/>
    <w:p>
      <w:pPr>
        <w:pStyle w:val="style34"/>
        <w:rPr>
          <w:rFonts w:cs="Times New Roman"/>
        </w:rPr>
      </w:pPr>
      <w:r>
        <w:rPr>
          <w:rFonts w:cs="Times New Roman"/>
        </w:rPr>
        <w:t xml:space="preserve">Figure </w:t>
      </w:r>
      <w:r>
        <w:rPr>
          <w:rFonts w:cs="Times New Roman"/>
        </w:rPr>
        <w:fldChar w:fldCharType="begin"/>
      </w:r>
      <w:r>
        <w:rPr>
          <w:rFonts w:cs="Times New Roman"/>
        </w:rPr>
        <w:instrText xml:space="preserve"> SEQ Figure \* ARABIC </w:instrText>
      </w:r>
      <w:r>
        <w:rPr>
          <w:rFonts w:cs="Times New Roman"/>
        </w:rPr>
        <w:fldChar w:fldCharType="separate"/>
      </w:r>
      <w:r>
        <w:rPr>
          <w:rFonts w:cs="Times New Roman"/>
          <w:noProof/>
        </w:rPr>
        <w:t>2</w:t>
      </w:r>
      <w:r>
        <w:rPr>
          <w:rFonts w:cs="Times New Roman"/>
        </w:rPr>
        <w:fldChar w:fldCharType="end"/>
      </w:r>
      <w:r>
        <w:rPr>
          <w:rFonts w:cs="Times New Roman"/>
        </w:rPr>
        <w:t>: Respondent</w:t>
      </w:r>
      <w:r>
        <w:rPr>
          <w:rFonts w:cs="Times New Roman"/>
        </w:rPr>
        <w:t xml:space="preserve"> general back ground – age</w:t>
      </w:r>
      <w:bookmarkEnd w:id="140"/>
      <w:bookmarkEnd w:id="141"/>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noProof/>
          <w:sz w:val="24"/>
          <w:szCs w:val="24"/>
        </w:rPr>
        <w:drawing>
          <wp:inline distT="0" distB="0" distL="0" distR="0">
            <wp:extent cx="5443219" cy="1828800"/>
            <wp:effectExtent l="0" t="0" r="0" b="0"/>
            <wp:docPr id="1041" name="_x0000_t75"/>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4" name="_x0000_t75"/>
                    <pic:cNvPicPr/>
                  </pic:nvPicPr>
                  <pic:blipFill rotWithShape="true">
                    <a:blip r:embed="rId9" cstate="print">
                      <a:extLst>
                        <a:ext uri="{28A0092B-C50C-407E-A947-70E740481C1C}">
                          <a14:useLocalDpi xmlns:a14="http://schemas.microsoft.com/office/drawing/2010/main" val="0"/>
                        </a:ext>
                      </a:extLst>
                    </a:blip>
                    <a:srcRect l="0" t="0" r="0" b="0"/>
                    <a:stretch>
                      <a:fillRect/>
                    </a:stretch>
                  </pic:blipFill>
                  <pic:spPr>
                    <a:xfrm>
                      <a:off x="0" y="0"/>
                      <a:ext cx="5443219" cy="1828800"/>
                    </a:xfrm>
                    <a:prstGeom prst="rect">
                      <a:avLst/>
                    </a:prstGeom>
                  </pic:spPr>
                </pic:pic>
              </a:graphicData>
            </a:graphic>
          </wp:inline>
        </w:drawing>
      </w:r>
    </w:p>
    <w:bookmarkStart w:id="142" w:name="_Toc204175443"/>
    <w:p>
      <w:pPr>
        <w:pStyle w:val="style34"/>
        <w:rPr>
          <w:rFonts w:cs="Times New Roman"/>
          <w:szCs w:val="24"/>
        </w:rPr>
      </w:pPr>
      <w:r>
        <w:rPr>
          <w:rFonts w:cs="Times New Roman"/>
        </w:rPr>
        <w:t xml:space="preserve">Table </w:t>
      </w:r>
      <w:r>
        <w:rPr>
          <w:rFonts w:cs="Times New Roman"/>
        </w:rPr>
        <w:t>3</w:t>
      </w:r>
      <w:r>
        <w:rPr>
          <w:rFonts w:cs="Times New Roman"/>
          <w:szCs w:val="24"/>
        </w:rPr>
        <w:t>: Age of Respondent</w:t>
      </w:r>
      <w:bookmarkEnd w:id="142"/>
    </w:p>
    <w:tbl>
      <w:tblPr>
        <w:tblW w:w="87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4"/>
        <w:gridCol w:w="2610"/>
        <w:gridCol w:w="2160"/>
        <w:gridCol w:w="2823"/>
      </w:tblGrid>
      <w:tr>
        <w:trPr>
          <w:jc w:val="center"/>
        </w:trPr>
        <w:tc>
          <w:tcPr>
            <w:tcW w:w="8707" w:type="dxa"/>
            <w:gridSpan w:val="4"/>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b/>
                <w:bCs/>
                <w:sz w:val="24"/>
                <w:szCs w:val="24"/>
              </w:rPr>
              <w:t>Age</w:t>
            </w:r>
          </w:p>
        </w:tc>
      </w:tr>
      <w:tr>
        <w:tblPrEx/>
        <w:trPr>
          <w:jc w:val="center"/>
        </w:trPr>
        <w:tc>
          <w:tcPr>
            <w:tcW w:w="3724" w:type="dxa"/>
            <w:gridSpan w:val="2"/>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Age </w:t>
            </w:r>
          </w:p>
        </w:tc>
        <w:tc>
          <w:tcPr>
            <w:tcW w:w="21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Frequency</w:t>
            </w:r>
          </w:p>
        </w:tc>
        <w:tc>
          <w:tcPr>
            <w:tcW w:w="2823"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Percent</w:t>
            </w:r>
          </w:p>
        </w:tc>
      </w:tr>
      <w:tr>
        <w:tblPrEx/>
        <w:trPr>
          <w:jc w:val="center"/>
        </w:trPr>
        <w:tc>
          <w:tcPr>
            <w:tcW w:w="1114" w:type="dxa"/>
            <w:vMerge w:val="restart"/>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Valid</w:t>
            </w:r>
          </w:p>
        </w:tc>
        <w:tc>
          <w:tcPr>
            <w:tcW w:w="261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20-29 </w:t>
            </w:r>
          </w:p>
        </w:tc>
        <w:tc>
          <w:tcPr>
            <w:tcW w:w="21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52</w:t>
            </w:r>
          </w:p>
        </w:tc>
        <w:tc>
          <w:tcPr>
            <w:tcW w:w="2823"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28.89</w:t>
            </w:r>
          </w:p>
        </w:tc>
      </w:tr>
      <w:tr>
        <w:tblPrEx/>
        <w:trPr>
          <w:jc w:val="center"/>
        </w:trPr>
        <w:tc>
          <w:tcPr>
            <w:tcW w:w="1114" w:type="dxa"/>
            <w:vMerge w:val="continue"/>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30-39</w:t>
            </w:r>
          </w:p>
        </w:tc>
        <w:tc>
          <w:tcPr>
            <w:tcW w:w="21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57</w:t>
            </w:r>
          </w:p>
        </w:tc>
        <w:tc>
          <w:tcPr>
            <w:tcW w:w="2823"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31.67</w:t>
            </w:r>
          </w:p>
        </w:tc>
      </w:tr>
      <w:tr>
        <w:tblPrEx/>
        <w:trPr>
          <w:jc w:val="center"/>
        </w:trPr>
        <w:tc>
          <w:tcPr>
            <w:tcW w:w="1114" w:type="dxa"/>
            <w:vMerge w:val="continue"/>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40-49</w:t>
            </w:r>
          </w:p>
        </w:tc>
        <w:tc>
          <w:tcPr>
            <w:tcW w:w="21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42</w:t>
            </w:r>
          </w:p>
        </w:tc>
        <w:tc>
          <w:tcPr>
            <w:tcW w:w="2823"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23.33</w:t>
            </w:r>
          </w:p>
        </w:tc>
      </w:tr>
      <w:tr>
        <w:tblPrEx/>
        <w:trPr>
          <w:jc w:val="center"/>
        </w:trPr>
        <w:tc>
          <w:tcPr>
            <w:tcW w:w="1114" w:type="dxa"/>
            <w:vMerge w:val="continue"/>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Above 60</w:t>
            </w:r>
          </w:p>
        </w:tc>
        <w:tc>
          <w:tcPr>
            <w:tcW w:w="21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29</w:t>
            </w:r>
          </w:p>
        </w:tc>
        <w:tc>
          <w:tcPr>
            <w:tcW w:w="2823"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16.11</w:t>
            </w:r>
          </w:p>
        </w:tc>
      </w:tr>
      <w:tr>
        <w:tblPrEx/>
        <w:trPr>
          <w:jc w:val="center"/>
        </w:trPr>
        <w:tc>
          <w:tcPr>
            <w:tcW w:w="1114" w:type="dxa"/>
            <w:vMerge w:val="continue"/>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261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Total </w:t>
            </w:r>
          </w:p>
        </w:tc>
        <w:tc>
          <w:tcPr>
            <w:tcW w:w="21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180</w:t>
            </w:r>
          </w:p>
        </w:tc>
        <w:tc>
          <w:tcPr>
            <w:tcW w:w="2823"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100</w:t>
            </w:r>
          </w:p>
        </w:tc>
      </w:tr>
    </w:tbl>
    <w:p>
      <w:pPr>
        <w:pStyle w:val="style0"/>
        <w:tabs>
          <w:tab w:val="left" w:leader="none" w:pos="7545"/>
        </w:tabs>
        <w:spacing w:lineRule="auto" w:line="360"/>
        <w:jc w:val="both"/>
        <w:rPr>
          <w:rFonts w:ascii="Times New Roman" w:cs="Times New Roman" w:hAnsi="Times New Roman"/>
          <w:sz w:val="24"/>
          <w:szCs w:val="24"/>
          <w:lang w:val="en-GB"/>
        </w:rPr>
      </w:pPr>
      <w:r>
        <w:rPr>
          <w:rFonts w:ascii="Times New Roman" w:cs="Times New Roman" w:hAnsi="Times New Roman"/>
          <w:sz w:val="24"/>
          <w:szCs w:val="24"/>
          <w:lang w:val="en-GB"/>
        </w:rPr>
        <w:t>Source: Survey Result (2025)</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It is believed to be that the ability to read and write influences one’s ability to understand and interpret the tax laws. With this regard the survey collected the educational background of the respondents and table 4 indicated 15.6% respondents had lower level of educational qualification in the sample (10/12</w:t>
      </w:r>
      <w:r>
        <w:rPr>
          <w:rFonts w:ascii="Times New Roman" w:cs="Times New Roman" w:hAnsi="Times New Roman"/>
          <w:sz w:val="24"/>
          <w:szCs w:val="24"/>
          <w:vertAlign w:val="superscript"/>
        </w:rPr>
        <w:t>th</w:t>
      </w:r>
      <w:r>
        <w:rPr>
          <w:rFonts w:ascii="Times New Roman" w:cs="Times New Roman" w:hAnsi="Times New Roman"/>
          <w:sz w:val="24"/>
          <w:szCs w:val="24"/>
        </w:rPr>
        <w:t xml:space="preserve"> grade completed); 20.6% of the total respondents had diploma. On the other hand, the numbers of respondents who were first degree holders were 41.8%; the remaining 22% of the respondents had masters and above qualifications. Cumulatively, all of the respondents were in possession of at least reading and writing and none of the respondents were bellow high school. This indicates that the majority of business taxpayers were educated to know the need for taxation and they can understand and interpret the tax law as well (Table3)</w:t>
      </w:r>
      <w:bookmarkStart w:id="143" w:name="_bookmark66"/>
      <w:bookmarkEnd w:id="143"/>
    </w:p>
    <w:bookmarkStart w:id="144" w:name="_Toc204243683"/>
    <w:p>
      <w:pPr>
        <w:pStyle w:val="style34"/>
        <w:rPr>
          <w:rFonts w:cs="Times New Roman"/>
          <w:iCs/>
          <w:szCs w:val="24"/>
        </w:rPr>
      </w:pPr>
      <w:r>
        <w:rPr>
          <w:rFonts w:cs="Times New Roman"/>
        </w:rPr>
        <w:t xml:space="preserve">Figure </w:t>
      </w:r>
      <w:r>
        <w:rPr>
          <w:rFonts w:cs="Times New Roman"/>
        </w:rPr>
        <w:fldChar w:fldCharType="begin"/>
      </w:r>
      <w:r>
        <w:rPr>
          <w:rFonts w:cs="Times New Roman"/>
        </w:rPr>
        <w:instrText xml:space="preserve"> SEQ Figure \* ARABIC </w:instrText>
      </w:r>
      <w:r>
        <w:rPr>
          <w:rFonts w:cs="Times New Roman"/>
        </w:rPr>
        <w:fldChar w:fldCharType="separate"/>
      </w:r>
      <w:r>
        <w:rPr>
          <w:rFonts w:cs="Times New Roman"/>
          <w:noProof/>
        </w:rPr>
        <w:t>3</w:t>
      </w:r>
      <w:r>
        <w:rPr>
          <w:rFonts w:cs="Times New Roman"/>
        </w:rPr>
        <w:fldChar w:fldCharType="end"/>
      </w:r>
      <w:r>
        <w:rPr>
          <w:rFonts w:cs="Times New Roman"/>
        </w:rPr>
        <w:t xml:space="preserve">: </w:t>
      </w:r>
      <w:r>
        <w:rPr>
          <w:rFonts w:cs="Times New Roman"/>
          <w:iCs/>
          <w:szCs w:val="24"/>
        </w:rPr>
        <w:t>R</w:t>
      </w:r>
      <w:r>
        <w:rPr>
          <w:rFonts w:cs="Times New Roman"/>
          <w:iCs/>
          <w:szCs w:val="24"/>
        </w:rPr>
        <w:t>espondent general back ground – educational level</w:t>
      </w:r>
      <w:bookmarkEnd w:id="144"/>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noProof/>
          <w:sz w:val="24"/>
          <w:szCs w:val="24"/>
        </w:rPr>
      </w:r>
      <w:r>
        <w:rPr>
          <w:rFonts w:ascii="Times New Roman" w:cs="Times New Roman" w:hAnsi="Times New Roman"/>
          <w:noProof/>
          <w:sz w:val="24"/>
          <w:szCs w:val="24"/>
        </w:rPr>
      </w:r>
      <w:r>
        <w:rPr>
          <w:rFonts w:ascii="Times New Roman" w:cs="Times New Roman" w:hAnsi="Times New Roman"/>
          <w:noProof/>
          <w:sz w:val="24"/>
          <w:szCs w:val="24"/>
        </w:rPr>
      </w:r>
      <w:r>
        <w:rPr>
          <w:rFonts w:ascii="Times New Roman" w:cs="Times New Roman" w:hAnsi="Times New Roman"/>
          <w:noProof/>
          <w:sz w:val="24"/>
          <w:szCs w:val="24"/>
        </w:rPr>
        <w:drawing>
          <wp:inline distT="0" distB="0" distL="114300" distR="114300">
            <wp:extent cx="4720590" cy="2753995"/>
            <wp:effectExtent l="0" t="0" r="0" b="0"/>
            <wp:docPr id="1043"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Pr>
          <w:rFonts w:ascii="Times New Roman" w:cs="Times New Roman" w:hAnsi="Times New Roman"/>
          <w:noProof/>
          <w:sz w:val="24"/>
          <w:szCs w:val="24"/>
        </w:rPr>
      </w:r>
    </w:p>
    <w:p>
      <w:pPr>
        <w:pStyle w:val="style0"/>
        <w:tabs>
          <w:tab w:val="left" w:leader="none" w:pos="7545"/>
        </w:tabs>
        <w:spacing w:lineRule="auto" w:line="360"/>
        <w:jc w:val="both"/>
        <w:rPr>
          <w:rFonts w:ascii="Times New Roman" w:cs="Times New Roman" w:hAnsi="Times New Roman"/>
          <w:sz w:val="24"/>
          <w:szCs w:val="24"/>
          <w:lang w:val="en-GB"/>
        </w:rPr>
      </w:pPr>
      <w:r>
        <w:rPr>
          <w:rFonts w:ascii="Times New Roman" w:cs="Times New Roman" w:hAnsi="Times New Roman"/>
          <w:sz w:val="24"/>
          <w:szCs w:val="24"/>
          <w:lang w:val="en-GB"/>
        </w:rPr>
        <w:t>Source: Survey Result (2025)</w:t>
      </w:r>
    </w:p>
    <w:bookmarkStart w:id="145" w:name="_Toc204175444"/>
    <w:p>
      <w:pPr>
        <w:pStyle w:val="style34"/>
        <w:rPr>
          <w:rFonts w:cs="Times New Roman"/>
          <w:iCs/>
          <w:szCs w:val="24"/>
        </w:rPr>
      </w:pPr>
      <w:r>
        <w:rPr>
          <w:rFonts w:cs="Times New Roman"/>
        </w:rPr>
        <w:t xml:space="preserve">Table </w:t>
      </w:r>
      <w:r>
        <w:rPr>
          <w:rFonts w:cs="Times New Roman"/>
        </w:rPr>
        <w:t>4</w:t>
      </w:r>
      <w:r>
        <w:rPr>
          <w:rFonts w:cs="Times New Roman"/>
          <w:iCs/>
          <w:szCs w:val="24"/>
        </w:rPr>
        <w:t>: Respondent general back ground – educational level</w:t>
      </w:r>
      <w:bookmarkEnd w:id="145"/>
    </w:p>
    <w:tbl>
      <w:tblPr>
        <w:tblW w:w="71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60"/>
        <w:gridCol w:w="2070"/>
        <w:gridCol w:w="1980"/>
      </w:tblGrid>
      <w:tr>
        <w:trPr>
          <w:jc w:val="center"/>
        </w:trPr>
        <w:tc>
          <w:tcPr>
            <w:tcW w:w="7110" w:type="dxa"/>
            <w:gridSpan w:val="3"/>
            <w:tcBorders/>
            <w:tcFitText w:val="false"/>
          </w:tcPr>
          <w:p>
            <w:pPr>
              <w:pStyle w:val="style0"/>
              <w:tabs>
                <w:tab w:val="left" w:leader="none" w:pos="7545"/>
              </w:tabs>
              <w:spacing w:lineRule="auto" w:line="360"/>
              <w:jc w:val="both"/>
              <w:rPr>
                <w:rFonts w:ascii="Times New Roman" w:cs="Times New Roman" w:hAnsi="Times New Roman"/>
                <w:sz w:val="24"/>
                <w:szCs w:val="24"/>
              </w:rPr>
            </w:pPr>
          </w:p>
        </w:tc>
      </w:tr>
      <w:tr>
        <w:tblPrEx/>
        <w:trPr>
          <w:jc w:val="center"/>
        </w:trPr>
        <w:tc>
          <w:tcPr>
            <w:tcW w:w="30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Educational level </w:t>
            </w:r>
          </w:p>
        </w:tc>
        <w:tc>
          <w:tcPr>
            <w:tcW w:w="207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Frequency</w:t>
            </w:r>
          </w:p>
        </w:tc>
        <w:tc>
          <w:tcPr>
            <w:tcW w:w="19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Percent</w:t>
            </w:r>
          </w:p>
        </w:tc>
      </w:tr>
      <w:tr>
        <w:tblPrEx/>
        <w:trPr>
          <w:jc w:val="center"/>
        </w:trPr>
        <w:tc>
          <w:tcPr>
            <w:tcW w:w="30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10</w:t>
            </w:r>
            <w:r>
              <w:rPr>
                <w:rFonts w:ascii="Times New Roman" w:cs="Times New Roman" w:hAnsi="Times New Roman"/>
                <w:sz w:val="24"/>
                <w:szCs w:val="24"/>
                <w:vertAlign w:val="superscript"/>
              </w:rPr>
              <w:t>th</w:t>
            </w:r>
            <w:r>
              <w:rPr>
                <w:rFonts w:ascii="Times New Roman" w:cs="Times New Roman" w:hAnsi="Times New Roman"/>
                <w:sz w:val="24"/>
                <w:szCs w:val="24"/>
              </w:rPr>
              <w:t>/ 12</w:t>
            </w:r>
            <w:r>
              <w:rPr>
                <w:rFonts w:ascii="Times New Roman" w:cs="Times New Roman" w:hAnsi="Times New Roman"/>
                <w:sz w:val="24"/>
                <w:szCs w:val="24"/>
                <w:vertAlign w:val="superscript"/>
              </w:rPr>
              <w:t>th</w:t>
            </w:r>
            <w:r>
              <w:rPr>
                <w:rFonts w:ascii="Times New Roman" w:cs="Times New Roman" w:hAnsi="Times New Roman"/>
                <w:sz w:val="24"/>
                <w:szCs w:val="24"/>
              </w:rPr>
              <w:t xml:space="preserve"> grade complete </w:t>
            </w:r>
          </w:p>
        </w:tc>
        <w:tc>
          <w:tcPr>
            <w:tcW w:w="207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28</w:t>
            </w:r>
          </w:p>
        </w:tc>
        <w:tc>
          <w:tcPr>
            <w:tcW w:w="19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15.6</w:t>
            </w:r>
          </w:p>
        </w:tc>
      </w:tr>
      <w:tr>
        <w:tblPrEx/>
        <w:trPr>
          <w:jc w:val="center"/>
        </w:trPr>
        <w:tc>
          <w:tcPr>
            <w:tcW w:w="30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Diploma </w:t>
            </w:r>
          </w:p>
        </w:tc>
        <w:tc>
          <w:tcPr>
            <w:tcW w:w="207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37</w:t>
            </w:r>
          </w:p>
        </w:tc>
        <w:tc>
          <w:tcPr>
            <w:tcW w:w="19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20.6</w:t>
            </w:r>
          </w:p>
        </w:tc>
      </w:tr>
      <w:tr>
        <w:tblPrEx/>
        <w:trPr>
          <w:jc w:val="center"/>
        </w:trPr>
        <w:tc>
          <w:tcPr>
            <w:tcW w:w="30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Degree</w:t>
            </w:r>
          </w:p>
        </w:tc>
        <w:tc>
          <w:tcPr>
            <w:tcW w:w="207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74</w:t>
            </w:r>
          </w:p>
        </w:tc>
        <w:tc>
          <w:tcPr>
            <w:tcW w:w="19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41.8 </w:t>
            </w:r>
          </w:p>
        </w:tc>
      </w:tr>
      <w:tr>
        <w:tblPrEx/>
        <w:trPr>
          <w:trHeight w:val="300" w:hRule="atLeast"/>
          <w:jc w:val="center"/>
        </w:trPr>
        <w:tc>
          <w:tcPr>
            <w:tcW w:w="30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w:t>
            </w:r>
            <w:r>
              <w:rPr>
                <w:rFonts w:ascii="Times New Roman" w:cs="Times New Roman" w:hAnsi="Times New Roman"/>
                <w:sz w:val="24"/>
                <w:szCs w:val="24"/>
                <w:vertAlign w:val="superscript"/>
              </w:rPr>
              <w:t>nd</w:t>
            </w:r>
            <w:r>
              <w:rPr>
                <w:rFonts w:ascii="Times New Roman" w:cs="Times New Roman" w:hAnsi="Times New Roman"/>
                <w:sz w:val="24"/>
                <w:szCs w:val="24"/>
              </w:rPr>
              <w:t xml:space="preserve"> degree </w:t>
            </w:r>
          </w:p>
        </w:tc>
        <w:tc>
          <w:tcPr>
            <w:tcW w:w="207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41</w:t>
            </w:r>
          </w:p>
        </w:tc>
        <w:tc>
          <w:tcPr>
            <w:tcW w:w="19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22</w:t>
            </w:r>
          </w:p>
        </w:tc>
      </w:tr>
      <w:tr>
        <w:tblPrEx/>
        <w:trPr>
          <w:trHeight w:val="120" w:hRule="atLeast"/>
          <w:jc w:val="center"/>
        </w:trPr>
        <w:tc>
          <w:tcPr>
            <w:tcW w:w="3060" w:type="dxa"/>
            <w:tcBorders>
              <w:bottom w:val="single" w:sz="4" w:space="0" w:color="auto"/>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Total </w:t>
            </w:r>
          </w:p>
        </w:tc>
        <w:tc>
          <w:tcPr>
            <w:tcW w:w="207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19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100</w:t>
            </w:r>
          </w:p>
        </w:tc>
      </w:tr>
    </w:tbl>
    <w:p>
      <w:pPr>
        <w:pStyle w:val="style0"/>
        <w:tabs>
          <w:tab w:val="left" w:leader="none" w:pos="7545"/>
        </w:tabs>
        <w:spacing w:lineRule="auto" w:line="360"/>
        <w:jc w:val="both"/>
        <w:rPr>
          <w:rFonts w:ascii="Times New Roman" w:cs="Times New Roman" w:hAnsi="Times New Roman"/>
          <w:sz w:val="24"/>
          <w:szCs w:val="24"/>
          <w:lang w:val="en-GB"/>
        </w:rPr>
      </w:pPr>
      <w:r>
        <w:rPr>
          <w:rFonts w:ascii="Times New Roman" w:cs="Times New Roman" w:hAnsi="Times New Roman"/>
          <w:sz w:val="24"/>
          <w:szCs w:val="24"/>
          <w:lang w:val="en-GB"/>
        </w:rPr>
        <w:t>Source: Survey Result (2025)</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Table 4illustrates respondents level of income their company had for the year of 2016  E.C. Majority of respondents 28.33% had earned income between 1,000,000_3,000,000.While 29.45% of companies indicated that their income ranges between 3,000,001_6,000,000 and </w:t>
      </w:r>
      <w:r>
        <w:rPr>
          <w:rFonts w:ascii="Times New Roman" w:cs="Times New Roman" w:hAnsi="Times New Roman"/>
          <w:sz w:val="24"/>
          <w:szCs w:val="24"/>
        </w:rPr>
        <w:t>21.11 of companies indicated annual earned income between 6,000,001_10,000,000 and 21.11% of companies had annual income above 10,000,001 .</w:t>
      </w:r>
      <w:bookmarkStart w:id="146" w:name="_bookmark67"/>
      <w:bookmarkEnd w:id="146"/>
    </w:p>
    <w:bookmarkStart w:id="147" w:name="_Toc203285129"/>
    <w:bookmarkStart w:id="148" w:name="_Toc204243684"/>
    <w:p>
      <w:pPr>
        <w:pStyle w:val="style34"/>
        <w:rPr>
          <w:rFonts w:cs="Times New Roman"/>
        </w:rPr>
      </w:pPr>
      <w:r>
        <w:rPr>
          <w:rFonts w:cs="Times New Roman"/>
        </w:rPr>
        <w:t xml:space="preserve">Figure </w:t>
      </w:r>
      <w:r>
        <w:rPr>
          <w:rFonts w:cs="Times New Roman"/>
        </w:rPr>
        <w:fldChar w:fldCharType="begin"/>
      </w:r>
      <w:r>
        <w:rPr>
          <w:rFonts w:cs="Times New Roman"/>
        </w:rPr>
        <w:instrText xml:space="preserve"> SEQ Figure \* ARABIC </w:instrText>
      </w:r>
      <w:r>
        <w:rPr>
          <w:rFonts w:cs="Times New Roman"/>
        </w:rPr>
        <w:fldChar w:fldCharType="separate"/>
      </w:r>
      <w:r>
        <w:rPr>
          <w:rFonts w:cs="Times New Roman"/>
          <w:noProof/>
        </w:rPr>
        <w:t>4</w:t>
      </w:r>
      <w:r>
        <w:rPr>
          <w:rFonts w:cs="Times New Roman"/>
        </w:rPr>
        <w:fldChar w:fldCharType="end"/>
      </w:r>
      <w:r>
        <w:rPr>
          <w:rFonts w:cs="Times New Roman"/>
        </w:rPr>
        <w:t xml:space="preserve">: </w:t>
      </w:r>
      <w:r>
        <w:rPr>
          <w:rFonts w:cs="Times New Roman"/>
        </w:rPr>
        <w:t>Respondent General Back Ground Income Level</w:t>
      </w:r>
      <w:bookmarkEnd w:id="147"/>
      <w:bookmarkEnd w:id="148"/>
    </w:p>
    <w:p>
      <w:pPr>
        <w:pStyle w:val="style0"/>
        <w:tabs>
          <w:tab w:val="left" w:leader="none" w:pos="7545"/>
        </w:tabs>
        <w:spacing w:lineRule="auto" w:line="360"/>
        <w:jc w:val="center"/>
        <w:rPr>
          <w:rFonts w:ascii="Times New Roman" w:cs="Times New Roman" w:hAnsi="Times New Roman"/>
          <w:sz w:val="24"/>
          <w:szCs w:val="24"/>
        </w:rPr>
      </w:pPr>
      <w:r>
        <w:rPr>
          <w:rFonts w:ascii="Times New Roman" w:cs="Times New Roman" w:hAnsi="Times New Roman"/>
          <w:noProof/>
          <w:sz w:val="24"/>
          <w:szCs w:val="24"/>
        </w:rPr>
      </w:r>
      <w:r>
        <w:rPr>
          <w:rFonts w:ascii="Times New Roman" w:cs="Times New Roman" w:hAnsi="Times New Roman"/>
          <w:noProof/>
          <w:sz w:val="24"/>
          <w:szCs w:val="24"/>
        </w:rPr>
      </w:r>
      <w:r>
        <w:rPr>
          <w:rFonts w:ascii="Times New Roman" w:cs="Times New Roman" w:hAnsi="Times New Roman"/>
          <w:noProof/>
          <w:sz w:val="24"/>
          <w:szCs w:val="24"/>
        </w:rPr>
      </w:r>
      <w:r>
        <w:rPr>
          <w:rFonts w:ascii="Times New Roman" w:cs="Times New Roman" w:hAnsi="Times New Roman"/>
          <w:noProof/>
          <w:sz w:val="24"/>
          <w:szCs w:val="24"/>
        </w:rPr>
        <w:drawing>
          <wp:inline distT="0" distB="0" distL="114300" distR="114300">
            <wp:extent cx="2434590" cy="1420495"/>
            <wp:effectExtent l="0" t="0" r="0" b="0"/>
            <wp:docPr id="1045"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ascii="Times New Roman" w:cs="Times New Roman" w:hAnsi="Times New Roman"/>
          <w:noProof/>
          <w:sz w:val="24"/>
          <w:szCs w:val="24"/>
        </w:rPr>
      </w:r>
    </w:p>
    <w:bookmarkStart w:id="149" w:name="_Toc204175445"/>
    <w:p>
      <w:pPr>
        <w:pStyle w:val="style34"/>
        <w:rPr>
          <w:rFonts w:cs="Times New Roman"/>
          <w:szCs w:val="24"/>
        </w:rPr>
      </w:pPr>
      <w:r>
        <w:rPr>
          <w:rFonts w:cs="Times New Roman"/>
        </w:rPr>
        <w:t xml:space="preserve">Table </w:t>
      </w:r>
      <w:r>
        <w:rPr>
          <w:rFonts w:cs="Times New Roman"/>
        </w:rPr>
        <w:t>5</w:t>
      </w:r>
      <w:r>
        <w:rPr>
          <w:rFonts w:cs="Times New Roman"/>
          <w:szCs w:val="24"/>
        </w:rPr>
        <w:t>: Respondent General Back Ground Income Level</w:t>
      </w:r>
      <w:bookmarkEnd w:id="149"/>
    </w:p>
    <w:tbl>
      <w:tblPr>
        <w:tblW w:w="9000" w:type="dxa"/>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50"/>
        <w:gridCol w:w="2340"/>
        <w:gridCol w:w="2610"/>
      </w:tblGrid>
      <w:tr>
        <w:trPr/>
        <w:tc>
          <w:tcPr>
            <w:tcW w:w="40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234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Frequency</w:t>
            </w:r>
          </w:p>
        </w:tc>
        <w:tc>
          <w:tcPr>
            <w:tcW w:w="261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Percent</w:t>
            </w:r>
          </w:p>
        </w:tc>
      </w:tr>
      <w:tr>
        <w:tblPrEx/>
        <w:trPr/>
        <w:tc>
          <w:tcPr>
            <w:tcW w:w="40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1,000,000- 3000,000 </w:t>
            </w:r>
          </w:p>
        </w:tc>
        <w:tc>
          <w:tcPr>
            <w:tcW w:w="234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51</w:t>
            </w:r>
          </w:p>
        </w:tc>
        <w:tc>
          <w:tcPr>
            <w:tcW w:w="261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28.33</w:t>
            </w:r>
          </w:p>
        </w:tc>
      </w:tr>
      <w:tr>
        <w:tblPrEx/>
        <w:trPr/>
        <w:tc>
          <w:tcPr>
            <w:tcW w:w="40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3,000,001- 6000,000</w:t>
            </w:r>
          </w:p>
        </w:tc>
        <w:tc>
          <w:tcPr>
            <w:tcW w:w="234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53</w:t>
            </w:r>
          </w:p>
        </w:tc>
        <w:tc>
          <w:tcPr>
            <w:tcW w:w="261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29.45</w:t>
            </w:r>
          </w:p>
        </w:tc>
      </w:tr>
      <w:tr>
        <w:tblPrEx/>
        <w:trPr/>
        <w:tc>
          <w:tcPr>
            <w:tcW w:w="40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6,000,001– 10,000,000</w:t>
            </w:r>
          </w:p>
        </w:tc>
        <w:tc>
          <w:tcPr>
            <w:tcW w:w="234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38</w:t>
            </w:r>
          </w:p>
        </w:tc>
        <w:tc>
          <w:tcPr>
            <w:tcW w:w="261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21.11</w:t>
            </w:r>
          </w:p>
        </w:tc>
      </w:tr>
      <w:tr>
        <w:tblPrEx/>
        <w:trPr>
          <w:trHeight w:val="375" w:hRule="atLeast"/>
        </w:trPr>
        <w:tc>
          <w:tcPr>
            <w:tcW w:w="40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Above 10 million </w:t>
            </w:r>
          </w:p>
        </w:tc>
        <w:tc>
          <w:tcPr>
            <w:tcW w:w="234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38</w:t>
            </w:r>
          </w:p>
        </w:tc>
        <w:tc>
          <w:tcPr>
            <w:tcW w:w="261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21.11</w:t>
            </w:r>
          </w:p>
        </w:tc>
      </w:tr>
      <w:tr>
        <w:tblPrEx/>
        <w:trPr>
          <w:trHeight w:val="138" w:hRule="atLeast"/>
        </w:trPr>
        <w:tc>
          <w:tcPr>
            <w:tcW w:w="40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Total </w:t>
            </w:r>
          </w:p>
        </w:tc>
        <w:tc>
          <w:tcPr>
            <w:tcW w:w="234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261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100 </w:t>
            </w:r>
          </w:p>
        </w:tc>
      </w:tr>
    </w:tbl>
    <w:p>
      <w:pPr>
        <w:pStyle w:val="style0"/>
        <w:tabs>
          <w:tab w:val="left" w:leader="none" w:pos="7545"/>
        </w:tabs>
        <w:spacing w:lineRule="auto" w:line="360"/>
        <w:jc w:val="both"/>
        <w:rPr>
          <w:rFonts w:ascii="Times New Roman" w:cs="Times New Roman" w:hAnsi="Times New Roman"/>
          <w:sz w:val="24"/>
          <w:szCs w:val="24"/>
          <w:lang w:val="en-GB"/>
        </w:rPr>
      </w:pPr>
      <w:r>
        <w:rPr>
          <w:rFonts w:ascii="Times New Roman" w:cs="Times New Roman" w:hAnsi="Times New Roman"/>
          <w:sz w:val="24"/>
          <w:szCs w:val="24"/>
          <w:lang w:val="en-GB"/>
        </w:rPr>
        <w:t>Source: Survey Result (2025)</w:t>
      </w:r>
    </w:p>
    <w:bookmarkStart w:id="150" w:name="_Toc203285119"/>
    <w:bookmarkStart w:id="151" w:name="_Toc204249797"/>
    <w:p>
      <w:pPr>
        <w:pStyle w:val="style3"/>
        <w:rPr>
          <w:rFonts w:ascii="Times New Roman" w:cs="Times New Roman" w:hAnsi="Times New Roman"/>
          <w:color w:val="auto"/>
          <w:sz w:val="24"/>
        </w:rPr>
      </w:pPr>
      <w:r>
        <w:rPr>
          <w:rFonts w:ascii="Times New Roman" w:cs="Times New Roman" w:hAnsi="Times New Roman"/>
          <w:color w:val="auto"/>
          <w:sz w:val="24"/>
        </w:rPr>
        <w:t xml:space="preserve">4.3. </w:t>
      </w:r>
      <w:r>
        <w:rPr>
          <w:rFonts w:ascii="Times New Roman" w:cs="Times New Roman" w:hAnsi="Times New Roman"/>
          <w:color w:val="auto"/>
          <w:sz w:val="24"/>
        </w:rPr>
        <w:t>Descriptive Analysis of Tax Compliance</w:t>
      </w:r>
      <w:bookmarkEnd w:id="150"/>
      <w:bookmarkEnd w:id="151"/>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This section provides descriptive analysis of the variables of this study, namely economic, social, individual, demographic factors and tax compliance.</w:t>
      </w:r>
    </w:p>
    <w:bookmarkStart w:id="152" w:name="_Toc203285120"/>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4.3.1. </w:t>
      </w:r>
      <w:r>
        <w:rPr>
          <w:rFonts w:ascii="Times New Roman" w:cs="Times New Roman" w:hAnsi="Times New Roman"/>
          <w:b/>
          <w:bCs/>
          <w:sz w:val="24"/>
          <w:szCs w:val="24"/>
        </w:rPr>
        <w:t>Tax Compliance</w:t>
      </w:r>
      <w:bookmarkEnd w:id="152"/>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As discussed earlier dependent variable have been measured using indirect and hypothetical questions which was recommended on previous studies to fetch genuine data in the most confidential information. According to Yesegat and Fjeldsta (2016) tax noncompliance is illegal and a concealed activity. Gathering data on the compliance behavior of taxpayers through field </w:t>
      </w:r>
      <w:r>
        <w:rPr>
          <w:rFonts w:ascii="Times New Roman" w:cs="Times New Roman" w:hAnsi="Times New Roman"/>
          <w:sz w:val="24"/>
          <w:szCs w:val="24"/>
        </w:rPr>
        <w:t>data collection methods such as questionnaires suffers from the unwillingness of respondents to reply honestly to questions about their own compliance.</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In this study, tax compliance behavior was measured by gathering responses from hypothetical tax scenarios. This scenario was introduced to mitigate the sensitive nature of the questions involved so that respondents would be more likely to provide truthful responses. As most corporations would have strong incentives to avoid revealing their non-compliance decisions, any direct measures would invariably suffer from substantial measurement errors (Recker.k, 1988). </w:t>
      </w:r>
      <w:r>
        <w:rPr>
          <w:rFonts w:ascii="Times New Roman" w:cs="Times New Roman" w:hAnsi="Times New Roman"/>
          <w:iCs/>
          <w:sz w:val="24"/>
          <w:szCs w:val="24"/>
        </w:rPr>
        <w:t>Responses are grouped into five categories for the indirect survey question regarding tax non-compliance: "very frequently", "frequently", "not so often", "sometimes", and "never" responses showing the existence of evasion at varying degrees of frequency. Accordingly, these are regarded as indicators of a non-compliant attitude which shows never used as a cut-off point and treat it as a measure of compliant attitude. The composite factor for compliance attitude in the first scenario is derived from the answers to the following questions: “How often do you believe that taxpayers underreport their income, how often do you believe that taxpayers evade taxes, and how often do you believe that taxpayers overstate their deductible expenses?” in which t</w:t>
      </w:r>
      <w:r>
        <w:rPr>
          <w:rFonts w:ascii="Times New Roman" w:cs="Times New Roman" w:hAnsi="Times New Roman"/>
          <w:sz w:val="24"/>
          <w:szCs w:val="24"/>
        </w:rPr>
        <w:t>he question measures the frequency of tax payers tax evasion (embedding themselves) responses ranging from” very frequently”=5 through “Never”=1.</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b/>
          <w:sz w:val="24"/>
          <w:szCs w:val="24"/>
        </w:rPr>
        <w:t xml:space="preserve">Figure 5 </w:t>
      </w:r>
      <w:r>
        <w:rPr>
          <w:rFonts w:ascii="Times New Roman" w:cs="Times New Roman" w:hAnsi="Times New Roman"/>
          <w:sz w:val="24"/>
          <w:szCs w:val="24"/>
        </w:rPr>
        <w:t>describes respondent’s tax compliance attitude based on their response to “How frequently do you think tax payers evade taxes? Under report their income? &amp; overstate their deductible expenses? Only 31.1% of the total respondents never evade taxes while the rest 68.9% evades taxes either by under-reporting income or overstating expenses. This implies that majority of category “A” tax payers do not comply with the tax law (</w:t>
      </w:r>
      <w:r>
        <w:rPr>
          <w:rFonts w:ascii="Times New Roman" w:cs="Times New Roman" w:hAnsi="Times New Roman"/>
          <w:sz w:val="24"/>
          <w:szCs w:val="24"/>
        </w:rPr>
        <w:t>figure 5</w:t>
      </w:r>
      <w:r>
        <w:rPr>
          <w:rFonts w:ascii="Times New Roman" w:cs="Times New Roman" w:hAnsi="Times New Roman"/>
          <w:sz w:val="24"/>
          <w:szCs w:val="24"/>
        </w:rPr>
        <w:t>).</w:t>
      </w:r>
      <w:bookmarkStart w:id="153" w:name="_bookmark69"/>
      <w:bookmarkStart w:id="154" w:name="_Toc203285130"/>
      <w:bookmarkEnd w:id="153"/>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p>
    <w:bookmarkStart w:id="155" w:name="_Toc204243685"/>
    <w:p>
      <w:pPr>
        <w:pStyle w:val="style34"/>
        <w:rPr>
          <w:rFonts w:cs="Times New Roman"/>
          <w:b w:val="false"/>
          <w:bCs w:val="false"/>
          <w:szCs w:val="24"/>
        </w:rPr>
      </w:pPr>
      <w:r>
        <w:rPr>
          <w:rFonts w:cs="Times New Roman"/>
        </w:rPr>
        <w:t xml:space="preserve">Figure </w:t>
      </w:r>
      <w:r>
        <w:rPr>
          <w:rFonts w:cs="Times New Roman"/>
        </w:rPr>
        <w:fldChar w:fldCharType="begin"/>
      </w:r>
      <w:r>
        <w:rPr>
          <w:rFonts w:cs="Times New Roman"/>
        </w:rPr>
        <w:instrText xml:space="preserve"> SEQ Figure \* ARABIC </w:instrText>
      </w:r>
      <w:r>
        <w:rPr>
          <w:rFonts w:cs="Times New Roman"/>
        </w:rPr>
        <w:fldChar w:fldCharType="separate"/>
      </w:r>
      <w:r>
        <w:rPr>
          <w:rFonts w:cs="Times New Roman"/>
          <w:noProof/>
        </w:rPr>
        <w:t>5</w:t>
      </w:r>
      <w:r>
        <w:rPr>
          <w:rFonts w:cs="Times New Roman"/>
        </w:rPr>
        <w:fldChar w:fldCharType="end"/>
      </w:r>
      <w:r>
        <w:rPr>
          <w:rFonts w:cs="Times New Roman"/>
        </w:rPr>
        <w:t>:</w:t>
      </w:r>
      <w:r>
        <w:rPr>
          <w:rFonts w:cs="Times New Roman"/>
          <w:szCs w:val="24"/>
        </w:rPr>
        <w:t xml:space="preserve"> T</w:t>
      </w:r>
      <w:r>
        <w:rPr>
          <w:rFonts w:cs="Times New Roman"/>
          <w:szCs w:val="24"/>
        </w:rPr>
        <w:t>ax compliance attitude</w:t>
      </w:r>
      <w:bookmarkEnd w:id="154"/>
      <w:bookmarkEnd w:id="155"/>
    </w:p>
    <w:p>
      <w:pPr>
        <w:pStyle w:val="style0"/>
        <w:tabs>
          <w:tab w:val="left" w:leader="none" w:pos="7545"/>
        </w:tabs>
        <w:spacing w:lineRule="auto" w:line="360"/>
        <w:jc w:val="center"/>
        <w:rPr>
          <w:rFonts w:ascii="Times New Roman" w:cs="Times New Roman" w:hAnsi="Times New Roman"/>
          <w:sz w:val="24"/>
          <w:szCs w:val="24"/>
        </w:rPr>
      </w:pPr>
      <w:r>
        <w:rPr>
          <w:rFonts w:ascii="Times New Roman" w:cs="Times New Roman" w:hAnsi="Times New Roman"/>
          <w:noProof/>
          <w:sz w:val="24"/>
          <w:szCs w:val="24"/>
        </w:rPr>
      </w:r>
      <w:r>
        <w:rPr>
          <w:rFonts w:ascii="Times New Roman" w:cs="Times New Roman" w:hAnsi="Times New Roman"/>
          <w:noProof/>
          <w:sz w:val="24"/>
          <w:szCs w:val="24"/>
        </w:rPr>
      </w:r>
      <w:r>
        <w:rPr>
          <w:rFonts w:ascii="Times New Roman" w:cs="Times New Roman" w:hAnsi="Times New Roman"/>
          <w:noProof/>
          <w:sz w:val="24"/>
          <w:szCs w:val="24"/>
        </w:rPr>
      </w:r>
      <w:r>
        <w:rPr>
          <w:rFonts w:ascii="Times New Roman" w:cs="Times New Roman" w:hAnsi="Times New Roman"/>
          <w:noProof/>
          <w:sz w:val="24"/>
          <w:szCs w:val="24"/>
        </w:rPr>
        <w:drawing>
          <wp:inline distT="0" distB="0" distL="114300" distR="114300">
            <wp:extent cx="4834890" cy="2820670"/>
            <wp:effectExtent l="0" t="0" r="0" b="0"/>
            <wp:docPr id="1047"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Pr>
          <w:rFonts w:ascii="Times New Roman" w:cs="Times New Roman" w:hAnsi="Times New Roman"/>
          <w:noProof/>
          <w:sz w:val="24"/>
          <w:szCs w:val="24"/>
        </w:rPr>
      </w:r>
    </w:p>
    <w:bookmarkStart w:id="156" w:name="_Toc204175446"/>
    <w:p>
      <w:pPr>
        <w:pStyle w:val="style34"/>
        <w:rPr>
          <w:rFonts w:cs="Times New Roman"/>
          <w:szCs w:val="24"/>
        </w:rPr>
      </w:pPr>
      <w:r>
        <w:rPr>
          <w:rFonts w:cs="Times New Roman"/>
        </w:rPr>
        <w:t xml:space="preserve">Table </w:t>
      </w:r>
      <w:r>
        <w:rPr>
          <w:rFonts w:cs="Times New Roman"/>
        </w:rPr>
        <w:t>6</w:t>
      </w:r>
      <w:r>
        <w:rPr>
          <w:rFonts w:cs="Times New Roman"/>
          <w:szCs w:val="24"/>
        </w:rPr>
        <w:t>: How frequently tax payers evade tax</w:t>
      </w:r>
      <w:bookmarkEnd w:id="156"/>
    </w:p>
    <w:tbl>
      <w:tblPr>
        <w:tblW w:w="7830" w:type="dxa"/>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0"/>
        <w:gridCol w:w="2070"/>
        <w:gridCol w:w="1440"/>
        <w:gridCol w:w="1890"/>
      </w:tblGrid>
      <w:tr>
        <w:trPr/>
        <w:tc>
          <w:tcPr>
            <w:tcW w:w="7830" w:type="dxa"/>
            <w:gridSpan w:val="4"/>
            <w:tcBorders/>
            <w:tcFitText w:val="false"/>
          </w:tcPr>
          <w:p>
            <w:pPr>
              <w:pStyle w:val="style0"/>
              <w:tabs>
                <w:tab w:val="left" w:leader="none" w:pos="7545"/>
              </w:tabs>
              <w:spacing w:lineRule="auto" w:line="360"/>
              <w:jc w:val="both"/>
              <w:rPr>
                <w:rFonts w:ascii="Times New Roman" w:cs="Times New Roman" w:hAnsi="Times New Roman"/>
                <w:sz w:val="24"/>
                <w:szCs w:val="24"/>
              </w:rPr>
            </w:pPr>
          </w:p>
        </w:tc>
      </w:tr>
      <w:tr>
        <w:tblPrEx/>
        <w:trPr>
          <w:trHeight w:val="394" w:hRule="atLeast"/>
        </w:trPr>
        <w:tc>
          <w:tcPr>
            <w:tcW w:w="2430" w:type="dxa"/>
            <w:vMerge w:val="restart"/>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How frequently tax payers evade tax</w:t>
            </w:r>
          </w:p>
        </w:tc>
        <w:tc>
          <w:tcPr>
            <w:tcW w:w="207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144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N </w:t>
            </w:r>
          </w:p>
        </w:tc>
        <w:tc>
          <w:tcPr>
            <w:tcW w:w="18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Percent </w:t>
            </w:r>
          </w:p>
        </w:tc>
      </w:tr>
      <w:tr>
        <w:tblPrEx/>
        <w:trPr>
          <w:trHeight w:val="403" w:hRule="atLeast"/>
        </w:trPr>
        <w:tc>
          <w:tcPr>
            <w:tcW w:w="2430" w:type="dxa"/>
            <w:vMerge w:val="continue"/>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207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Never </w:t>
            </w:r>
          </w:p>
        </w:tc>
        <w:tc>
          <w:tcPr>
            <w:tcW w:w="144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56</w:t>
            </w:r>
          </w:p>
        </w:tc>
        <w:tc>
          <w:tcPr>
            <w:tcW w:w="18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31.1%</w:t>
            </w:r>
          </w:p>
        </w:tc>
      </w:tr>
      <w:tr>
        <w:tblPrEx/>
        <w:trPr/>
        <w:tc>
          <w:tcPr>
            <w:tcW w:w="2430" w:type="dxa"/>
            <w:vMerge w:val="continue"/>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207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Sometimes </w:t>
            </w:r>
          </w:p>
        </w:tc>
        <w:tc>
          <w:tcPr>
            <w:tcW w:w="144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40</w:t>
            </w:r>
          </w:p>
        </w:tc>
        <w:tc>
          <w:tcPr>
            <w:tcW w:w="18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22.2%</w:t>
            </w:r>
          </w:p>
        </w:tc>
      </w:tr>
      <w:tr>
        <w:tblPrEx/>
        <w:trPr/>
        <w:tc>
          <w:tcPr>
            <w:tcW w:w="2430" w:type="dxa"/>
            <w:vMerge w:val="continue"/>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207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Not so often </w:t>
            </w:r>
          </w:p>
        </w:tc>
        <w:tc>
          <w:tcPr>
            <w:tcW w:w="144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33</w:t>
            </w:r>
          </w:p>
        </w:tc>
        <w:tc>
          <w:tcPr>
            <w:tcW w:w="18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18.3%</w:t>
            </w:r>
          </w:p>
        </w:tc>
      </w:tr>
      <w:tr>
        <w:tblPrEx/>
        <w:trPr/>
        <w:tc>
          <w:tcPr>
            <w:tcW w:w="2430" w:type="dxa"/>
            <w:vMerge w:val="continue"/>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207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Frequently </w:t>
            </w:r>
          </w:p>
        </w:tc>
        <w:tc>
          <w:tcPr>
            <w:tcW w:w="144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24</w:t>
            </w:r>
          </w:p>
        </w:tc>
        <w:tc>
          <w:tcPr>
            <w:tcW w:w="18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13.3% </w:t>
            </w:r>
          </w:p>
        </w:tc>
      </w:tr>
      <w:tr>
        <w:tblPrEx/>
        <w:trPr/>
        <w:tc>
          <w:tcPr>
            <w:tcW w:w="2430" w:type="dxa"/>
            <w:vMerge w:val="continue"/>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207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Very frequently</w:t>
            </w:r>
          </w:p>
        </w:tc>
        <w:tc>
          <w:tcPr>
            <w:tcW w:w="144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27</w:t>
            </w:r>
          </w:p>
        </w:tc>
        <w:tc>
          <w:tcPr>
            <w:tcW w:w="18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15% </w:t>
            </w:r>
          </w:p>
        </w:tc>
      </w:tr>
      <w:tr>
        <w:tblPrEx/>
        <w:trPr>
          <w:trHeight w:val="376" w:hRule="atLeast"/>
        </w:trPr>
        <w:tc>
          <w:tcPr>
            <w:tcW w:w="4500" w:type="dxa"/>
            <w:gridSpan w:val="2"/>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Total </w:t>
            </w:r>
          </w:p>
        </w:tc>
        <w:tc>
          <w:tcPr>
            <w:tcW w:w="144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180 </w:t>
            </w:r>
          </w:p>
        </w:tc>
        <w:tc>
          <w:tcPr>
            <w:tcW w:w="18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100% </w:t>
            </w:r>
          </w:p>
        </w:tc>
      </w:tr>
    </w:tbl>
    <w:p>
      <w:pPr>
        <w:pStyle w:val="style0"/>
        <w:tabs>
          <w:tab w:val="left" w:leader="none" w:pos="7545"/>
        </w:tabs>
        <w:spacing w:lineRule="auto" w:line="360"/>
        <w:jc w:val="both"/>
        <w:rPr>
          <w:rFonts w:ascii="Times New Roman" w:cs="Times New Roman" w:hAnsi="Times New Roman"/>
          <w:sz w:val="24"/>
          <w:szCs w:val="24"/>
          <w:lang w:val="en-GB"/>
        </w:rPr>
      </w:pPr>
      <w:r>
        <w:rPr>
          <w:rFonts w:ascii="Times New Roman" w:cs="Times New Roman" w:hAnsi="Times New Roman"/>
          <w:sz w:val="24"/>
          <w:szCs w:val="24"/>
          <w:lang w:val="en-GB"/>
        </w:rPr>
        <w:t xml:space="preserve">         Source: Survey Result (2025)</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iCs/>
          <w:sz w:val="24"/>
          <w:szCs w:val="24"/>
        </w:rPr>
        <w:t xml:space="preserve">The respondents were asked to read a scenario about being tempted to underreport income in the second scenario. The degree of agreement with the under-reporting of income was measured using a five-point Liker scale ranging from strongly agree=5 to strongly disagree=1. The compliance level was measured using composite factor from responses to the </w:t>
      </w:r>
      <w:r>
        <w:rPr>
          <w:rFonts w:ascii="Times New Roman" w:cs="Times New Roman" w:hAnsi="Times New Roman"/>
          <w:iCs/>
          <w:sz w:val="24"/>
          <w:szCs w:val="24"/>
        </w:rPr>
        <w:t xml:space="preserve">statements "To what extent do you agree with Mr. Abebe's possible action of not reporting that cash sale of ETB 500, 000 as his business income?" and "To what extent do you agree with Mr. Abebe's possible action if he reports only part of the ETB 500,000 as business income?". Higher scores would suggest more likely instances of non-compliance, and vice versa. </w:t>
      </w:r>
      <w:r>
        <w:rPr>
          <w:rFonts w:ascii="Times New Roman" w:cs="Times New Roman" w:hAnsi="Times New Roman"/>
          <w:sz w:val="24"/>
          <w:szCs w:val="24"/>
        </w:rPr>
        <w:t>As shown below in Table 6, 14.5% and 2.5 % of respondents agree and strongly agree with income under reporting respectively while 35.9% and 20% were strongly disagree and disagree. The rest 28.5% remain neutral. Overall result of this scenario indicates majority of category “A” tax payers do not agree with noncompliance attitude</w:t>
      </w:r>
      <w:bookmarkStart w:id="157" w:name="_bookmark70"/>
      <w:bookmarkEnd w:id="157"/>
      <w:r>
        <w:rPr>
          <w:rFonts w:ascii="Times New Roman" w:cs="Times New Roman" w:hAnsi="Times New Roman"/>
          <w:sz w:val="24"/>
          <w:szCs w:val="24"/>
        </w:rPr>
        <w:t>.</w:t>
      </w:r>
    </w:p>
    <w:p>
      <w:pPr>
        <w:pStyle w:val="style34"/>
        <w:rPr>
          <w:rFonts w:cs="Times New Roman"/>
          <w:b w:val="false"/>
          <w:bCs w:val="false"/>
          <w:szCs w:val="24"/>
        </w:rPr>
      </w:pPr>
      <w:r>
        <w:rPr>
          <w:rFonts w:cs="Times New Roman"/>
          <w:szCs w:val="24"/>
        </w:rPr>
        <w:t xml:space="preserve"> </w:t>
      </w:r>
      <w:bookmarkStart w:id="158" w:name="_Toc203285131"/>
      <w:bookmarkStart w:id="159" w:name="_Toc204243686"/>
      <w:r>
        <w:rPr>
          <w:rFonts w:cs="Times New Roman"/>
        </w:rPr>
        <w:t xml:space="preserve">Figure </w:t>
      </w:r>
      <w:r>
        <w:rPr>
          <w:rFonts w:cs="Times New Roman"/>
        </w:rPr>
        <w:fldChar w:fldCharType="begin"/>
      </w:r>
      <w:r>
        <w:rPr>
          <w:rFonts w:cs="Times New Roman"/>
        </w:rPr>
        <w:instrText xml:space="preserve"> SEQ Figure \* ARABIC </w:instrText>
      </w:r>
      <w:r>
        <w:rPr>
          <w:rFonts w:cs="Times New Roman"/>
        </w:rPr>
        <w:fldChar w:fldCharType="separate"/>
      </w:r>
      <w:r>
        <w:rPr>
          <w:rFonts w:cs="Times New Roman"/>
          <w:noProof/>
        </w:rPr>
        <w:t>6</w:t>
      </w:r>
      <w:r>
        <w:rPr>
          <w:rFonts w:cs="Times New Roman"/>
        </w:rPr>
        <w:fldChar w:fldCharType="end"/>
      </w:r>
      <w:r>
        <w:rPr>
          <w:rFonts w:cs="Times New Roman"/>
        </w:rPr>
        <w:t>:</w:t>
      </w:r>
      <w:r>
        <w:rPr>
          <w:rFonts w:cs="Times New Roman"/>
          <w:szCs w:val="24"/>
        </w:rPr>
        <w:t xml:space="preserve"> Noncompliance attitude</w:t>
      </w:r>
      <w:bookmarkEnd w:id="158"/>
      <w:bookmarkEnd w:id="159"/>
    </w:p>
    <w:p>
      <w:pPr>
        <w:pStyle w:val="style0"/>
        <w:tabs>
          <w:tab w:val="left" w:leader="none" w:pos="7545"/>
        </w:tabs>
        <w:spacing w:lineRule="auto" w:line="360"/>
        <w:jc w:val="center"/>
        <w:rPr>
          <w:rFonts w:ascii="Times New Roman" w:cs="Times New Roman" w:hAnsi="Times New Roman"/>
          <w:sz w:val="24"/>
          <w:szCs w:val="24"/>
        </w:rPr>
      </w:pPr>
      <w:r>
        <w:rPr>
          <w:rFonts w:ascii="Times New Roman" w:cs="Times New Roman" w:hAnsi="Times New Roman"/>
          <w:noProof/>
          <w:sz w:val="24"/>
          <w:szCs w:val="24"/>
        </w:rPr>
      </w:r>
      <w:r>
        <w:rPr>
          <w:rFonts w:ascii="Times New Roman" w:cs="Times New Roman" w:hAnsi="Times New Roman"/>
          <w:noProof/>
          <w:sz w:val="24"/>
          <w:szCs w:val="24"/>
        </w:rPr>
      </w:r>
      <w:r>
        <w:rPr>
          <w:rFonts w:ascii="Times New Roman" w:cs="Times New Roman" w:hAnsi="Times New Roman"/>
          <w:noProof/>
          <w:sz w:val="24"/>
          <w:szCs w:val="24"/>
        </w:rPr>
      </w:r>
      <w:r>
        <w:rPr>
          <w:rFonts w:ascii="Times New Roman" w:cs="Times New Roman" w:hAnsi="Times New Roman"/>
          <w:noProof/>
          <w:sz w:val="24"/>
          <w:szCs w:val="24"/>
        </w:rPr>
        <w:drawing>
          <wp:inline distT="0" distB="0" distL="114300" distR="114300">
            <wp:extent cx="5463540" cy="3187065"/>
            <wp:effectExtent l="0" t="0" r="0" b="0"/>
            <wp:docPr id="1049"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cs="Times New Roman" w:hAnsi="Times New Roman"/>
          <w:noProof/>
          <w:sz w:val="24"/>
          <w:szCs w:val="24"/>
        </w:rPr>
      </w:r>
    </w:p>
    <w:bookmarkStart w:id="160" w:name="_Toc204175447"/>
    <w:p>
      <w:pPr>
        <w:pStyle w:val="style34"/>
        <w:rPr>
          <w:rFonts w:cs="Times New Roman"/>
          <w:szCs w:val="24"/>
        </w:rPr>
      </w:pPr>
      <w:r>
        <w:rPr>
          <w:rFonts w:cs="Times New Roman"/>
        </w:rPr>
        <w:t xml:space="preserve">Table </w:t>
      </w:r>
      <w:r>
        <w:rPr>
          <w:rFonts w:cs="Times New Roman"/>
        </w:rPr>
        <w:t>7</w:t>
      </w:r>
      <w:r>
        <w:rPr>
          <w:rFonts w:cs="Times New Roman"/>
          <w:szCs w:val="24"/>
        </w:rPr>
        <w:t>: Do you agree with partial/full evasion?</w:t>
      </w:r>
      <w:bookmarkEnd w:id="160"/>
    </w:p>
    <w:tbl>
      <w:tblPr>
        <w:tblW w:w="8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60"/>
        <w:gridCol w:w="2880"/>
        <w:gridCol w:w="1620"/>
        <w:gridCol w:w="1260"/>
      </w:tblGrid>
      <w:tr>
        <w:trPr>
          <w:jc w:val="center"/>
        </w:trPr>
        <w:tc>
          <w:tcPr>
            <w:tcW w:w="8820" w:type="dxa"/>
            <w:gridSpan w:val="4"/>
            <w:tcBorders/>
            <w:tcFitText w:val="false"/>
          </w:tcPr>
          <w:p>
            <w:pPr>
              <w:pStyle w:val="style0"/>
              <w:tabs>
                <w:tab w:val="left" w:leader="none" w:pos="7545"/>
              </w:tabs>
              <w:spacing w:lineRule="auto" w:line="360"/>
              <w:jc w:val="both"/>
              <w:rPr>
                <w:rFonts w:ascii="Times New Roman" w:cs="Times New Roman" w:hAnsi="Times New Roman"/>
                <w:sz w:val="24"/>
                <w:szCs w:val="24"/>
              </w:rPr>
            </w:pPr>
          </w:p>
        </w:tc>
      </w:tr>
      <w:tr>
        <w:tblPrEx/>
        <w:trPr>
          <w:jc w:val="center"/>
        </w:trPr>
        <w:tc>
          <w:tcPr>
            <w:tcW w:w="5940" w:type="dxa"/>
            <w:gridSpan w:val="2"/>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Noncompliance attitude </w:t>
            </w:r>
          </w:p>
        </w:tc>
        <w:tc>
          <w:tcPr>
            <w:tcW w:w="16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N </w:t>
            </w:r>
          </w:p>
        </w:tc>
        <w:tc>
          <w:tcPr>
            <w:tcW w:w="12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Percent</w:t>
            </w:r>
          </w:p>
        </w:tc>
      </w:tr>
      <w:tr>
        <w:tblPrEx/>
        <w:trPr>
          <w:jc w:val="center"/>
        </w:trPr>
        <w:tc>
          <w:tcPr>
            <w:tcW w:w="3060" w:type="dxa"/>
            <w:vMerge w:val="restart"/>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Do you agree with partial/full evasion? </w:t>
            </w:r>
          </w:p>
        </w:tc>
        <w:tc>
          <w:tcPr>
            <w:tcW w:w="28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Strongly disagree</w:t>
            </w:r>
          </w:p>
        </w:tc>
        <w:tc>
          <w:tcPr>
            <w:tcW w:w="16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61</w:t>
            </w:r>
          </w:p>
        </w:tc>
        <w:tc>
          <w:tcPr>
            <w:tcW w:w="12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33.90 %</w:t>
            </w:r>
          </w:p>
        </w:tc>
      </w:tr>
      <w:tr>
        <w:tblPrEx/>
        <w:trPr>
          <w:jc w:val="center"/>
        </w:trPr>
        <w:tc>
          <w:tcPr>
            <w:tcW w:w="3060" w:type="dxa"/>
            <w:vMerge w:val="continue"/>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28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Disagree</w:t>
            </w:r>
          </w:p>
        </w:tc>
        <w:tc>
          <w:tcPr>
            <w:tcW w:w="16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35</w:t>
            </w:r>
          </w:p>
        </w:tc>
        <w:tc>
          <w:tcPr>
            <w:tcW w:w="12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19.44 %                                             </w:t>
            </w:r>
          </w:p>
        </w:tc>
      </w:tr>
      <w:tr>
        <w:tblPrEx/>
        <w:trPr>
          <w:trHeight w:val="313" w:hRule="atLeast"/>
          <w:jc w:val="center"/>
        </w:trPr>
        <w:tc>
          <w:tcPr>
            <w:tcW w:w="3060" w:type="dxa"/>
            <w:vMerge w:val="continue"/>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2880" w:type="dxa"/>
            <w:tcBorders>
              <w:bottom w:val="single" w:sz="4" w:space="0" w:color="auto"/>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Neutral </w:t>
            </w:r>
          </w:p>
        </w:tc>
        <w:tc>
          <w:tcPr>
            <w:tcW w:w="1620" w:type="dxa"/>
            <w:tcBorders>
              <w:bottom w:val="single" w:sz="4" w:space="0" w:color="auto"/>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49</w:t>
            </w:r>
          </w:p>
        </w:tc>
        <w:tc>
          <w:tcPr>
            <w:tcW w:w="1260" w:type="dxa"/>
            <w:tcBorders>
              <w:bottom w:val="single" w:sz="4" w:space="0" w:color="auto"/>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27.22%</w:t>
            </w:r>
          </w:p>
        </w:tc>
      </w:tr>
      <w:tr>
        <w:tblPrEx/>
        <w:trPr>
          <w:trHeight w:val="288" w:hRule="atLeast"/>
          <w:jc w:val="center"/>
        </w:trPr>
        <w:tc>
          <w:tcPr>
            <w:tcW w:w="3060" w:type="dxa"/>
            <w:vMerge w:val="continue"/>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2880" w:type="dxa"/>
            <w:tcBorders>
              <w:top w:val="single" w:sz="4" w:space="0" w:color="auto"/>
              <w:bottom w:val="single" w:sz="4" w:space="0" w:color="auto"/>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Agree </w:t>
            </w:r>
          </w:p>
        </w:tc>
        <w:tc>
          <w:tcPr>
            <w:tcW w:w="1620" w:type="dxa"/>
            <w:tcBorders>
              <w:top w:val="single" w:sz="4" w:space="0" w:color="auto"/>
              <w:bottom w:val="single" w:sz="4" w:space="0" w:color="auto"/>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24</w:t>
            </w:r>
          </w:p>
        </w:tc>
        <w:tc>
          <w:tcPr>
            <w:tcW w:w="1260" w:type="dxa"/>
            <w:tcBorders>
              <w:top w:val="single" w:sz="4" w:space="0" w:color="auto"/>
              <w:bottom w:val="single" w:sz="4" w:space="0" w:color="auto"/>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13.33%</w:t>
            </w:r>
          </w:p>
        </w:tc>
      </w:tr>
      <w:tr>
        <w:tblPrEx/>
        <w:trPr>
          <w:trHeight w:val="225" w:hRule="atLeast"/>
          <w:jc w:val="center"/>
        </w:trPr>
        <w:tc>
          <w:tcPr>
            <w:tcW w:w="3060" w:type="dxa"/>
            <w:vMerge w:val="continue"/>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2880" w:type="dxa"/>
            <w:tcBorders>
              <w:top w:val="single" w:sz="4" w:space="0" w:color="auto"/>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Strong agree</w:t>
            </w:r>
          </w:p>
        </w:tc>
        <w:tc>
          <w:tcPr>
            <w:tcW w:w="1620" w:type="dxa"/>
            <w:tcBorders>
              <w:top w:val="single" w:sz="4" w:space="0" w:color="auto"/>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11</w:t>
            </w:r>
          </w:p>
        </w:tc>
        <w:tc>
          <w:tcPr>
            <w:tcW w:w="1260" w:type="dxa"/>
            <w:tcBorders>
              <w:top w:val="single" w:sz="4" w:space="0" w:color="auto"/>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6.11% </w:t>
            </w:r>
          </w:p>
        </w:tc>
      </w:tr>
      <w:tr>
        <w:tblPrEx/>
        <w:trPr>
          <w:jc w:val="center"/>
        </w:trPr>
        <w:tc>
          <w:tcPr>
            <w:tcW w:w="3060" w:type="dxa"/>
            <w:vMerge w:val="continue"/>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28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Total</w:t>
            </w:r>
          </w:p>
        </w:tc>
        <w:tc>
          <w:tcPr>
            <w:tcW w:w="16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180 </w:t>
            </w:r>
          </w:p>
        </w:tc>
        <w:tc>
          <w:tcPr>
            <w:tcW w:w="12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100%   </w:t>
            </w:r>
          </w:p>
        </w:tc>
      </w:tr>
    </w:tbl>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lang w:val="en-GB"/>
        </w:rPr>
        <w:t>Source: Survey Result (2025)</w:t>
      </w:r>
    </w:p>
    <w:bookmarkStart w:id="161" w:name="_Toc203285121"/>
    <w:p>
      <w:pPr>
        <w:pStyle w:val="style0"/>
        <w:tabs>
          <w:tab w:val="left" w:leader="none" w:pos="7545"/>
        </w:tabs>
        <w:spacing w:lineRule="auto" w:line="360"/>
        <w:jc w:val="both"/>
        <w:rPr>
          <w:rFonts w:ascii="Times New Roman" w:cs="Times New Roman" w:hAnsi="Times New Roman"/>
          <w:b/>
          <w:bCs/>
          <w:sz w:val="24"/>
          <w:szCs w:val="24"/>
        </w:rPr>
      </w:pPr>
      <w:r>
        <w:rPr>
          <w:rFonts w:ascii="Times New Roman" w:cs="Times New Roman" w:hAnsi="Times New Roman"/>
          <w:b/>
          <w:bCs/>
          <w:sz w:val="24"/>
          <w:szCs w:val="24"/>
        </w:rPr>
        <w:t xml:space="preserve">4.3.2. </w:t>
      </w:r>
      <w:r>
        <w:rPr>
          <w:rFonts w:ascii="Times New Roman" w:cs="Times New Roman" w:hAnsi="Times New Roman"/>
          <w:b/>
          <w:bCs/>
          <w:sz w:val="24"/>
          <w:szCs w:val="24"/>
        </w:rPr>
        <w:t>Descriptive Analysis of Independent variables</w:t>
      </w:r>
      <w:bookmarkEnd w:id="161"/>
    </w:p>
    <w:p>
      <w:pPr>
        <w:pStyle w:val="style0"/>
        <w:tabs>
          <w:tab w:val="left" w:leader="none" w:pos="7545"/>
        </w:tabs>
        <w:spacing w:lineRule="auto" w:line="360"/>
        <w:jc w:val="both"/>
        <w:rPr>
          <w:rFonts w:ascii="Times New Roman" w:cs="Times New Roman" w:hAnsi="Times New Roman"/>
          <w:b/>
          <w:bCs/>
          <w:i/>
          <w:iCs/>
          <w:sz w:val="24"/>
          <w:szCs w:val="24"/>
        </w:rPr>
      </w:pPr>
      <w:r>
        <w:rPr>
          <w:rFonts w:ascii="Times New Roman" w:cs="Times New Roman" w:hAnsi="Times New Roman"/>
          <w:b/>
          <w:bCs/>
          <w:i/>
          <w:iCs/>
          <w:sz w:val="24"/>
          <w:szCs w:val="24"/>
        </w:rPr>
        <w:t>Economic, Social and Individual Factors</w:t>
      </w:r>
    </w:p>
    <w:p>
      <w:pPr>
        <w:pStyle w:val="style0"/>
        <w:tabs>
          <w:tab w:val="left" w:leader="none" w:pos="7545"/>
        </w:tabs>
        <w:spacing w:lineRule="auto" w:line="360"/>
        <w:jc w:val="both"/>
        <w:rPr>
          <w:rFonts w:ascii="Times New Roman" w:cs="Times New Roman" w:hAnsi="Times New Roman"/>
          <w:iCs/>
          <w:sz w:val="24"/>
          <w:szCs w:val="24"/>
        </w:rPr>
      </w:pPr>
      <w:r>
        <w:rPr>
          <w:rFonts w:ascii="Times New Roman" w:cs="Times New Roman" w:hAnsi="Times New Roman"/>
          <w:sz w:val="24"/>
          <w:szCs w:val="24"/>
        </w:rPr>
        <w:t>T</w:t>
      </w:r>
      <w:r>
        <w:rPr>
          <w:rFonts w:ascii="Times New Roman" w:cs="Times New Roman" w:hAnsi="Times New Roman"/>
          <w:iCs/>
          <w:sz w:val="24"/>
          <w:szCs w:val="24"/>
        </w:rPr>
        <w:t>he survey statements that range from "minimum" (1) to "maximum" (4) are the basis for the variable descriptions in this paragraph. Table 7 presents the respondents' agreement (x = 2.67, σ = 1.343) that the tax authority's ability to look into every reported income is limited, and that they have a chance to avoid an audit. According to earlier research, the survey's findings are consistent. According to Allingham and Sandmo (1972), taxpayers will always accurately report their income if there is a good chance of being caught. The respondents are quite appreciative of government services, facilities, and infrastructure (x = 2.58, σ = 1.326) and concur that the government spends a fair amount on welfare (\x = 2.62, σ = 1.445). The government wastes a lot of money (x = 2.22, σ = 1.245). The overall result indicated that respondents (</w:t>
      </w:r>
      <w:r>
        <w:rPr>
          <w:rFonts w:ascii="Times New Roman" w:cs="Times New Roman" w:hAnsi="Times New Roman"/>
          <w:b/>
          <w:iCs/>
          <w:sz w:val="24"/>
          <w:szCs w:val="24"/>
        </w:rPr>
        <w:t>x = 2.47)</w:t>
      </w:r>
      <w:r>
        <w:rPr>
          <w:rFonts w:ascii="Times New Roman" w:cs="Times New Roman" w:hAnsi="Times New Roman"/>
          <w:iCs/>
          <w:sz w:val="24"/>
          <w:szCs w:val="24"/>
        </w:rPr>
        <w:t xml:space="preserve"> disagreed with the fairness of government spending. This could be the cause of the majority of taxpayers' noncompliance with the tax code. Research indicated that citizens will feel deceived and try to avoid paying taxes if they believe the government is spending excessive amounts of money on things they don't need or find useful (Roberts, 1994).</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iCs/>
          <w:sz w:val="24"/>
          <w:szCs w:val="24"/>
        </w:rPr>
        <w:t xml:space="preserve">Respondents stated that higher income earners should pay more taxes (x = 2.70, σ = 1.537) and that they think their taxes are the same as those of others with similar incomes ({x = 2.63, σ = 1.283) in response to the equity and fairness principle. Furthermore, the majority of respondents concurred that helping the poor and other people in general will result from paying the appropriate amount of income tax (x = 3.27, σ = 1.51). Additionally, they concurred that government policy benefits their company and that they enjoy a tax advantage in their business area with (x = 3.20 and 3.00, σ = 1.142&amp; 1.069) in that order. The majority of taxpayers </w:t>
      </w:r>
      <w:r>
        <w:rPr>
          <w:rFonts w:ascii="Times New Roman" w:cs="Times New Roman" w:hAnsi="Times New Roman"/>
          <w:iCs/>
          <w:sz w:val="24"/>
          <w:szCs w:val="24"/>
        </w:rPr>
        <w:t xml:space="preserve">concur that the tax system is equitable and fair, according to the results of our summary of responses regarding perceptions of equity and fairness (x (composite) = </w:t>
      </w:r>
      <w:r>
        <w:rPr>
          <w:rFonts w:ascii="Times New Roman" w:cs="Times New Roman" w:hAnsi="Times New Roman"/>
          <w:b/>
          <w:iCs/>
          <w:sz w:val="24"/>
          <w:szCs w:val="24"/>
        </w:rPr>
        <w:t>2.87</w:t>
      </w:r>
      <w:r>
        <w:rPr>
          <w:rFonts w:ascii="Times New Roman" w:cs="Times New Roman" w:hAnsi="Times New Roman"/>
          <w:iCs/>
          <w:sz w:val="24"/>
          <w:szCs w:val="24"/>
        </w:rPr>
        <w:t>).</w:t>
      </w:r>
    </w:p>
    <w:p>
      <w:pPr>
        <w:pStyle w:val="style0"/>
        <w:tabs>
          <w:tab w:val="left" w:leader="none" w:pos="7545"/>
        </w:tabs>
        <w:spacing w:lineRule="auto" w:line="360"/>
        <w:jc w:val="both"/>
        <w:rPr>
          <w:rFonts w:ascii="Times New Roman" w:cs="Times New Roman" w:hAnsi="Times New Roman"/>
          <w:iCs/>
          <w:sz w:val="24"/>
          <w:szCs w:val="24"/>
        </w:rPr>
      </w:pPr>
      <w:r>
        <w:rPr>
          <w:rFonts w:ascii="Times New Roman" w:cs="Times New Roman" w:hAnsi="Times New Roman"/>
          <w:iCs/>
          <w:sz w:val="24"/>
          <w:szCs w:val="24"/>
        </w:rPr>
        <w:t>The statements "I have tax advantage in my business area," "Government policy is in favor of my business," and "I believe that the ruling party has fair policies for Category "A" tax payer" explain the survey results on government policy. The respondents appear to be in agreement with government policy, as indicated by the weighted mean of</w:t>
      </w:r>
      <w:r>
        <w:rPr>
          <w:rFonts w:ascii="Times New Roman" w:cs="Times New Roman" w:hAnsi="Times New Roman"/>
          <w:b/>
          <w:iCs/>
          <w:sz w:val="24"/>
          <w:szCs w:val="24"/>
        </w:rPr>
        <w:t xml:space="preserve"> 3.06</w:t>
      </w:r>
      <w:r>
        <w:rPr>
          <w:rFonts w:ascii="Times New Roman" w:cs="Times New Roman" w:hAnsi="Times New Roman"/>
          <w:iCs/>
          <w:sz w:val="24"/>
          <w:szCs w:val="24"/>
        </w:rPr>
        <w:t xml:space="preserve"> for those questions. The studies conducted by Hassel dine and Hite (2003) investigated the impact of political party affiliation and attribute framing on the attitudes of taxpayers. </w:t>
      </w:r>
    </w:p>
    <w:p>
      <w:pPr>
        <w:pStyle w:val="style0"/>
        <w:tabs>
          <w:tab w:val="left" w:leader="none" w:pos="7545"/>
        </w:tabs>
        <w:spacing w:lineRule="auto" w:line="360"/>
        <w:jc w:val="both"/>
        <w:rPr>
          <w:rFonts w:ascii="Times New Roman" w:cs="Times New Roman" w:hAnsi="Times New Roman"/>
          <w:iCs/>
          <w:sz w:val="24"/>
          <w:szCs w:val="24"/>
        </w:rPr>
      </w:pPr>
      <w:r>
        <w:rPr>
          <w:rFonts w:ascii="Times New Roman" w:cs="Times New Roman" w:hAnsi="Times New Roman"/>
          <w:iCs/>
          <w:sz w:val="24"/>
          <w:szCs w:val="24"/>
        </w:rPr>
        <w:t xml:space="preserve">Because their parents and friends did not compile and were never penalized (x = 2.72, σ = 1.204) and x = 2.70, σ = 1.22, respectively, the referral group respondents do not comply. According to earlier research, tax payers acknowledged that their referral group has an impact on them ({x (composite) = </w:t>
      </w:r>
      <w:r>
        <w:rPr>
          <w:rFonts w:ascii="Times New Roman" w:cs="Times New Roman" w:hAnsi="Times New Roman"/>
          <w:b/>
          <w:iCs/>
          <w:sz w:val="24"/>
          <w:szCs w:val="24"/>
        </w:rPr>
        <w:t>2.71).</w:t>
      </w:r>
      <w:r>
        <w:rPr>
          <w:rFonts w:ascii="Times New Roman" w:cs="Times New Roman" w:hAnsi="Times New Roman"/>
          <w:iCs/>
          <w:sz w:val="24"/>
          <w:szCs w:val="24"/>
        </w:rPr>
        <w:t> Studies to determine the significance of reference groups i. Although Ajzen (1988) and Ajzen and Fishbein (1980) theorized that referent groups play a significant role in determining people's intentions and behavior in their Theory of Reasoned Action (TRA) and Theory of Planned Behavior (TPB), the involvement of family members and friends in tax compliance is limited.</w:t>
      </w:r>
    </w:p>
    <w:p>
      <w:pPr>
        <w:pStyle w:val="style0"/>
        <w:tabs>
          <w:tab w:val="left" w:leader="none" w:pos="7545"/>
        </w:tabs>
        <w:spacing w:lineRule="auto" w:line="360"/>
        <w:jc w:val="both"/>
        <w:rPr>
          <w:rFonts w:ascii="Times New Roman" w:cs="Times New Roman" w:hAnsi="Times New Roman"/>
          <w:iCs/>
          <w:sz w:val="24"/>
          <w:szCs w:val="24"/>
        </w:rPr>
      </w:pPr>
      <w:r>
        <w:rPr>
          <w:rFonts w:ascii="Times New Roman" w:cs="Times New Roman" w:hAnsi="Times New Roman"/>
          <w:iCs/>
          <w:sz w:val="24"/>
          <w:szCs w:val="24"/>
        </w:rPr>
        <w:t>Based on the survey results, the majority of participants concurred that their expenses consistently surpass their income (~x = 3.08, σ = 1.261), and that the cost of necessities is constantly rising (\x = 3.02, σ = 1.209). Instead of paying their taxes, the majority of respondents prioritize paying for debt and necessities (x = 2.63, σ = 1.27). Taxpayers generally concurred that their compliance behavior is impacted by personal financial constraints ({x (composite</w:t>
      </w:r>
      <w:r>
        <w:rPr>
          <w:rFonts w:ascii="Times New Roman" w:cs="Times New Roman" w:hAnsi="Times New Roman"/>
          <w:b/>
          <w:iCs/>
          <w:sz w:val="24"/>
          <w:szCs w:val="24"/>
        </w:rPr>
        <w:t>= 2.91</w:t>
      </w:r>
      <w:r>
        <w:rPr>
          <w:rFonts w:ascii="Times New Roman" w:cs="Times New Roman" w:hAnsi="Times New Roman"/>
          <w:iCs/>
          <w:sz w:val="24"/>
          <w:szCs w:val="24"/>
        </w:rPr>
        <w:t>)</w:t>
      </w:r>
      <w:r>
        <w:rPr>
          <w:rFonts w:ascii="Times New Roman" w:cs="Times New Roman" w:hAnsi="Times New Roman"/>
          <w:sz w:val="24"/>
          <w:szCs w:val="24"/>
        </w:rPr>
        <w:t>.</w:t>
      </w:r>
    </w:p>
    <w:p>
      <w:pPr>
        <w:pStyle w:val="style0"/>
        <w:tabs>
          <w:tab w:val="left" w:leader="none" w:pos="7545"/>
        </w:tabs>
        <w:spacing w:lineRule="auto" w:line="360"/>
        <w:jc w:val="both"/>
        <w:rPr>
          <w:rFonts w:ascii="Times New Roman" w:cs="Times New Roman" w:hAnsi="Times New Roman"/>
          <w:iCs/>
          <w:sz w:val="24"/>
          <w:szCs w:val="24"/>
        </w:rPr>
      </w:pPr>
      <w:r>
        <w:rPr>
          <w:rFonts w:ascii="Times New Roman" w:cs="Times New Roman" w:hAnsi="Times New Roman"/>
          <w:iCs/>
          <w:sz w:val="24"/>
          <w:szCs w:val="24"/>
        </w:rPr>
        <w:t xml:space="preserve">Regarding awareness of offenses and penalties, the majority of respondents disagree with the statement that most people can afford to pay the penalties (x = 2.02, σ = 0.979). The survey results also indicate that most people disagree that enforcement of the law is very lax (x = 2.17, σ = 1.103) and that tax authorities are tolerant of their offenses (x = 2.02, σ = 1.012). The statement "I have no idea about penalty rates and offences" (x = 2.02, σ = 0.889) is disagreed with by the majority of respondents. The majority of respondents are aware </w:t>
      </w:r>
      <w:r>
        <w:rPr>
          <w:rFonts w:ascii="Times New Roman" w:cs="Times New Roman" w:hAnsi="Times New Roman"/>
          <w:iCs/>
          <w:sz w:val="24"/>
          <w:szCs w:val="24"/>
        </w:rPr>
        <w:t xml:space="preserve">of the penalty rates and the consequences of offense acts, as evidenced by the disagreement-inclining sum of responses regarding awareness of offenses and penalties (x (composite) = </w:t>
      </w:r>
      <w:r>
        <w:rPr>
          <w:rFonts w:ascii="Times New Roman" w:cs="Times New Roman" w:hAnsi="Times New Roman"/>
          <w:b/>
          <w:iCs/>
          <w:sz w:val="24"/>
          <w:szCs w:val="24"/>
        </w:rPr>
        <w:t>2.05).</w:t>
      </w:r>
      <w:r>
        <w:rPr>
          <w:rFonts w:ascii="Times New Roman" w:cs="Times New Roman" w:hAnsi="Times New Roman"/>
          <w:iCs/>
          <w:sz w:val="24"/>
          <w:szCs w:val="24"/>
        </w:rPr>
        <w:t xml:space="preserve">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When it comes to tax knowledge, tax payers are more inclined towards strongly agreeing with the statement I know how to declare actual income received (x = 3.77, б = 1.193), how to keep records/documents pertaining to income and expenditure (x = 3.87, б = 1.045 Most tax payers have knowledge about the tax system, according to the sum of results towards tax knowledge.</w:t>
      </w:r>
    </w:p>
    <w:bookmarkStart w:id="162" w:name="_Toc203285132"/>
    <w:bookmarkStart w:id="163" w:name="_Toc204175448"/>
    <w:p>
      <w:pPr>
        <w:pStyle w:val="style34"/>
        <w:rPr>
          <w:rFonts w:cs="Times New Roman"/>
        </w:rPr>
      </w:pPr>
      <w:r>
        <w:rPr>
          <w:rFonts w:cs="Times New Roman"/>
        </w:rPr>
        <w:t xml:space="preserve">Table </w:t>
      </w:r>
      <w:r>
        <w:rPr>
          <w:rFonts w:cs="Times New Roman"/>
        </w:rPr>
        <w:t>8</w:t>
      </w:r>
      <w:r>
        <w:rPr>
          <w:rFonts w:cs="Times New Roman"/>
        </w:rPr>
        <w:t>: D</w:t>
      </w:r>
      <w:r>
        <w:rPr>
          <w:rFonts w:cs="Times New Roman"/>
        </w:rPr>
        <w:t>escriptive statistics of economic, social and individual factors</w:t>
      </w:r>
      <w:bookmarkEnd w:id="162"/>
      <w:bookmarkEnd w:id="163"/>
    </w:p>
    <w:tbl>
      <w:tblPr>
        <w:tblW w:w="936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20"/>
        <w:gridCol w:w="720"/>
        <w:gridCol w:w="900"/>
        <w:gridCol w:w="990"/>
        <w:gridCol w:w="1080"/>
        <w:gridCol w:w="1350"/>
      </w:tblGrid>
      <w:tr>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Descriptive statics </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N </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Min </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Max </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Mean </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Std. Dev. </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Tax authority has limited capability  to investigate all income reported, so I have an opportunity to escape tax a</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180 </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2.67 </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1.343</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 xml:space="preserve">Sum of government spending </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1080" w:type="dxa"/>
            <w:tcBorders/>
            <w:tcFitText w:val="false"/>
          </w:tcPr>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 xml:space="preserve">2.47 </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 government spends a reasonable amount on welfare</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2.62</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1.445</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I am very thank full about government services, facilities and infrastructure </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2.58</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1.326</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government does not wastes too much money </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2.22</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1.2451</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Sum of equity and fairness</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1080" w:type="dxa"/>
            <w:tcBorders/>
            <w:tcFitText w:val="false"/>
          </w:tcPr>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2.87</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Higher income earners should pay more taxes</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2.70</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1.537</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I pay about the same amount of taxes</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2.63</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1.283</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paying right amount of income tax, I believe that other people especially the poor will get the benefit </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3.27</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1.510 </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 xml:space="preserve">Sum of government policy </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1080" w:type="dxa"/>
            <w:tcBorders/>
            <w:tcFitText w:val="false"/>
          </w:tcPr>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3.06</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Government policy is in favor of my business</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3.20</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1.142</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I have tax advantage in my business area</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3.00</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1.069</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believe that the ruling party has fair policies for category A tax payers</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2.98</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1.108</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Sum of referral group</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1080" w:type="dxa"/>
            <w:tcBorders/>
            <w:tcFitText w:val="false"/>
          </w:tcPr>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2.71</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My friends do not comply and they have never been penalized</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2.70</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1.220</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My parents and relatives do not comply and they have never been penalized</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2.72</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1.204 </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Sum of financial constraint</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1080" w:type="dxa"/>
            <w:tcBorders/>
            <w:tcFitText w:val="false"/>
          </w:tcPr>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2.91</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My expenditure always exceeds my income</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3.08</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1.261</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price of basic needs is keep on increasing </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3.02</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1.2091</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I will pay my debts and basics needs first </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2.63</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1.270 </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Sum of penalty and offences</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1080" w:type="dxa"/>
            <w:tcBorders/>
            <w:tcFitText w:val="false"/>
          </w:tcPr>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2.05</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 penalty rates are very low and I can afford to pay the penalty</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2.02 </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0.979</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enforcement is very weak </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2.17</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1.103</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I believe that the tax authority is tolerant towards my offence </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2.02</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1.012</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I have no idea about penalty rates and offences</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2.02</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0.889</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Sum of tax knowledge</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c>
          <w:tcPr>
            <w:tcW w:w="1080" w:type="dxa"/>
            <w:tcBorders/>
            <w:tcFitText w:val="false"/>
          </w:tcPr>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3.92</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p>
        </w:tc>
      </w:tr>
      <w:tr>
        <w:tblPrEx/>
        <w:trPr>
          <w:trHeight w:val="638" w:hRule="atLeast"/>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I know how to declare actual income received</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3.77</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1.193</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I know how to keep records/documents pertaining to income and expenditure</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3.87</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1.045</w:t>
            </w:r>
          </w:p>
        </w:tc>
      </w:tr>
      <w:tr>
        <w:tblPrEx/>
        <w:trPr/>
        <w:tc>
          <w:tcPr>
            <w:tcW w:w="43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I understand that I should pay taxes due within the prescribed period</w:t>
            </w:r>
          </w:p>
        </w:tc>
        <w:tc>
          <w:tcPr>
            <w:tcW w:w="72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180</w:t>
            </w:r>
          </w:p>
        </w:tc>
        <w:tc>
          <w:tcPr>
            <w:tcW w:w="90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1</w:t>
            </w:r>
          </w:p>
        </w:tc>
        <w:tc>
          <w:tcPr>
            <w:tcW w:w="9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4.12</w:t>
            </w:r>
          </w:p>
        </w:tc>
        <w:tc>
          <w:tcPr>
            <w:tcW w:w="135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0.918</w:t>
            </w:r>
          </w:p>
        </w:tc>
      </w:tr>
    </w:tbl>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lang w:val="en-GB"/>
        </w:rPr>
        <w:t>Source: Survey Result (2025)</w:t>
      </w:r>
    </w:p>
    <w:bookmarkStart w:id="164" w:name="_Toc203285122"/>
    <w:bookmarkStart w:id="165" w:name="_Toc204249798"/>
    <w:p>
      <w:pPr>
        <w:pStyle w:val="style3"/>
        <w:rPr>
          <w:rFonts w:ascii="Times New Roman" w:cs="Times New Roman" w:hAnsi="Times New Roman"/>
          <w:color w:val="auto"/>
          <w:sz w:val="24"/>
        </w:rPr>
      </w:pPr>
      <w:r>
        <w:rPr>
          <w:rFonts w:ascii="Times New Roman" w:cs="Times New Roman" w:hAnsi="Times New Roman"/>
          <w:color w:val="auto"/>
          <w:sz w:val="24"/>
        </w:rPr>
        <w:t xml:space="preserve">4.4. </w:t>
      </w:r>
      <w:r>
        <w:rPr>
          <w:rFonts w:ascii="Times New Roman" w:cs="Times New Roman" w:hAnsi="Times New Roman"/>
          <w:color w:val="auto"/>
          <w:sz w:val="24"/>
        </w:rPr>
        <w:t>Determinants of tax compliance– Ordered probit model</w:t>
      </w:r>
      <w:bookmarkEnd w:id="164"/>
      <w:bookmarkEnd w:id="165"/>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An ordered probit model is a statistical model used to analyze relationships between an ordinal dependent variable (like "poor," "good," "excellent") and a set of independent variables, employing a cumulative standard normal distribution for its link function. </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The result of ordered probit analysis is presented in this section. A number of significant associations were observed between the degree of tax compliance </w:t>
      </w:r>
      <w:r>
        <w:rPr>
          <w:rFonts w:ascii="Times New Roman" w:cs="Times New Roman" w:hAnsi="Times New Roman"/>
          <w:sz w:val="24"/>
          <w:szCs w:val="24"/>
        </w:rPr>
        <w:t>and unrelated variables. Table 9</w:t>
      </w:r>
      <w:r>
        <w:rPr>
          <w:rFonts w:ascii="Times New Roman" w:cs="Times New Roman" w:hAnsi="Times New Roman"/>
          <w:sz w:val="24"/>
          <w:szCs w:val="24"/>
        </w:rPr>
        <w:t xml:space="preserve"> shows that education, tax audit, government spending, referral group, financial constraint, awareness of penalty and offence, and tax knowledge were significant factors affecting tax compliance. Tax compliance behavior is influenced by personal financial constraints, tax knowledge, awareness of penalty and offence, government spending, referral group and education. Taxpayers with crucial financial constraints tend to be less compliant (negative association) because a person in financial distress will be forced to prioritize their own needs over tax obligations. The hypothesis that personal financial constraint is negatively associated with tax compliance was supported.</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Previous studies have shown that tax knowledge has a strong relationship with taxpayers' ability to understand the laws and regulations of taxation. Tax knowledge is positively associated with tax compliance, according to Table 8. The result also supported Hypothesis 7 (awareness of </w:t>
      </w:r>
      <w:r>
        <w:rPr>
          <w:rFonts w:ascii="Times New Roman" w:cs="Times New Roman" w:hAnsi="Times New Roman"/>
          <w:sz w:val="24"/>
          <w:szCs w:val="24"/>
        </w:rPr>
        <w:t>penalty is positively associated with tax compliance) and Hypothesis 1 (probability of being audited is positively associated with tax compliance) the higher the penalty and the higher the potential audit probability, the greater the discouragement for potential tax evasion. The likelihood of audit detection will boost tax compliance since individuals might be hesitant to pay a fine Government spending has a positive relationship with tax compliance, according to the ordered probit analysis result. It's possible that voluntary compliance will increase if the government uses the national revenue wisely for necessities like education, health and safety, and public transportation.</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Referral group influence has a significant relationship with tax compliance among social factors. Tax payers will decide to commit the same if they perceive that peers are noncompliant and have never been penalized. Friends and family members are of significant influence on taxpayers' behavior, according to the study. Taxpayers are keen to refer their tax matters to their immediate family members, which is why Hypothesis 5 was accepted. The survey result indicated that education was positively associated with tax compliance, supporting Hypothesis 12. Being educated will enable tax payers to grasp the tax system effortlessly and take appropriate action accordingly.</w:t>
      </w:r>
    </w:p>
    <w:bookmarkStart w:id="166" w:name="_Toc203285133"/>
    <w:bookmarkStart w:id="167" w:name="_Toc204175449"/>
    <w:p>
      <w:pPr>
        <w:pStyle w:val="style34"/>
        <w:rPr>
          <w:rFonts w:cs="Times New Roman"/>
          <w:iCs/>
          <w:szCs w:val="24"/>
        </w:rPr>
      </w:pPr>
      <w:r>
        <w:rPr>
          <w:rFonts w:cs="Times New Roman"/>
        </w:rPr>
        <w:t>Table</w:t>
      </w:r>
      <w:r>
        <w:rPr>
          <w:rFonts w:cs="Times New Roman"/>
        </w:rPr>
        <w:t xml:space="preserve"> 9:</w:t>
      </w:r>
      <w:r>
        <w:rPr>
          <w:rFonts w:cs="Times New Roman"/>
        </w:rPr>
        <w:t xml:space="preserve"> </w:t>
      </w:r>
      <w:r>
        <w:rPr>
          <w:rFonts w:cs="Times New Roman"/>
          <w:iCs/>
          <w:szCs w:val="24"/>
        </w:rPr>
        <w:t>D</w:t>
      </w:r>
      <w:r>
        <w:rPr>
          <w:rFonts w:cs="Times New Roman"/>
          <w:iCs/>
          <w:szCs w:val="24"/>
        </w:rPr>
        <w:t>eterminants of tax compliance   ordered probit regression result</w:t>
      </w:r>
      <w:bookmarkEnd w:id="166"/>
      <w:bookmarkEnd w:id="167"/>
    </w:p>
    <w:tbl>
      <w:tblPr>
        <w:tblW w:w="8190" w:type="dxa"/>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0"/>
        <w:gridCol w:w="1080"/>
        <w:gridCol w:w="1890"/>
        <w:gridCol w:w="1260"/>
      </w:tblGrid>
      <w:tr>
        <w:trPr/>
        <w:tc>
          <w:tcPr>
            <w:tcW w:w="3960" w:type="dxa"/>
            <w:tcBorders/>
            <w:tcFitText w:val="false"/>
          </w:tcPr>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Tax Comp</w:t>
            </w:r>
          </w:p>
        </w:tc>
        <w:tc>
          <w:tcPr>
            <w:tcW w:w="1080" w:type="dxa"/>
            <w:tcBorders/>
            <w:tcFitText w:val="false"/>
          </w:tcPr>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 xml:space="preserve">Coef </w:t>
            </w:r>
          </w:p>
        </w:tc>
        <w:tc>
          <w:tcPr>
            <w:tcW w:w="1890" w:type="dxa"/>
            <w:tcBorders/>
            <w:tcFitText w:val="false"/>
          </w:tcPr>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 xml:space="preserve">        Se</w:t>
            </w:r>
          </w:p>
        </w:tc>
        <w:tc>
          <w:tcPr>
            <w:tcW w:w="1260" w:type="dxa"/>
            <w:tcBorders/>
            <w:tcFitText w:val="false"/>
          </w:tcPr>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P&gt;|Z|</w:t>
            </w:r>
          </w:p>
        </w:tc>
      </w:tr>
      <w:tr>
        <w:tblPrEx/>
        <w:trPr/>
        <w:tc>
          <w:tcPr>
            <w:tcW w:w="39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Gender</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0.91</w:t>
            </w:r>
          </w:p>
        </w:tc>
        <w:tc>
          <w:tcPr>
            <w:tcW w:w="18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0.285197</w:t>
            </w:r>
          </w:p>
        </w:tc>
        <w:tc>
          <w:tcPr>
            <w:tcW w:w="12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0.154</w:t>
            </w:r>
          </w:p>
        </w:tc>
      </w:tr>
      <w:tr>
        <w:tblPrEx/>
        <w:trPr/>
        <w:tc>
          <w:tcPr>
            <w:tcW w:w="39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Age </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0.12</w:t>
            </w:r>
          </w:p>
        </w:tc>
        <w:tc>
          <w:tcPr>
            <w:tcW w:w="18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0.145</w:t>
            </w:r>
          </w:p>
        </w:tc>
        <w:tc>
          <w:tcPr>
            <w:tcW w:w="12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0.4010</w:t>
            </w:r>
          </w:p>
        </w:tc>
      </w:tr>
      <w:tr>
        <w:tblPrEx/>
        <w:trPr/>
        <w:tc>
          <w:tcPr>
            <w:tcW w:w="39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w:t>
            </w:r>
            <w:r>
              <w:rPr>
                <w:rFonts w:ascii="Times New Roman" w:cs="Times New Roman" w:hAnsi="Times New Roman"/>
                <w:sz w:val="24"/>
                <w:szCs w:val="24"/>
              </w:rPr>
              <w:t>Educ</w:t>
            </w:r>
            <w:r>
              <w:rPr>
                <w:rFonts w:ascii="Times New Roman" w:cs="Times New Roman" w:hAnsi="Times New Roman"/>
                <w:sz w:val="24"/>
                <w:szCs w:val="24"/>
              </w:rPr>
              <w:t>ation</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0.27</w:t>
            </w:r>
          </w:p>
        </w:tc>
        <w:tc>
          <w:tcPr>
            <w:tcW w:w="18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0.1526521</w:t>
            </w:r>
          </w:p>
        </w:tc>
        <w:tc>
          <w:tcPr>
            <w:tcW w:w="12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0.075*</w:t>
            </w:r>
          </w:p>
        </w:tc>
      </w:tr>
      <w:tr>
        <w:tblPrEx/>
        <w:trPr/>
        <w:tc>
          <w:tcPr>
            <w:tcW w:w="39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Income</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0.11</w:t>
            </w:r>
          </w:p>
        </w:tc>
        <w:tc>
          <w:tcPr>
            <w:tcW w:w="18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0.131835</w:t>
            </w:r>
          </w:p>
        </w:tc>
        <w:tc>
          <w:tcPr>
            <w:tcW w:w="12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0.3810</w:t>
            </w:r>
          </w:p>
        </w:tc>
      </w:tr>
      <w:tr>
        <w:tblPrEx/>
        <w:trPr/>
        <w:tc>
          <w:tcPr>
            <w:tcW w:w="39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Tax Aud</w:t>
            </w:r>
            <w:r>
              <w:rPr>
                <w:rFonts w:ascii="Times New Roman" w:cs="Times New Roman" w:hAnsi="Times New Roman"/>
                <w:sz w:val="24"/>
                <w:szCs w:val="24"/>
              </w:rPr>
              <w:t>it</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0.23</w:t>
            </w:r>
          </w:p>
        </w:tc>
        <w:tc>
          <w:tcPr>
            <w:tcW w:w="18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0.1002571</w:t>
            </w:r>
          </w:p>
        </w:tc>
        <w:tc>
          <w:tcPr>
            <w:tcW w:w="12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0.017**</w:t>
            </w:r>
          </w:p>
        </w:tc>
      </w:tr>
      <w:tr>
        <w:tblPrEx/>
        <w:trPr/>
        <w:tc>
          <w:tcPr>
            <w:tcW w:w="39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Government</w:t>
            </w:r>
            <w:r>
              <w:rPr>
                <w:rFonts w:ascii="Times New Roman" w:cs="Times New Roman" w:hAnsi="Times New Roman"/>
                <w:sz w:val="24"/>
                <w:szCs w:val="24"/>
              </w:rPr>
              <w:t xml:space="preserve"> Spen</w:t>
            </w:r>
            <w:r>
              <w:rPr>
                <w:rFonts w:ascii="Times New Roman" w:cs="Times New Roman" w:hAnsi="Times New Roman"/>
                <w:sz w:val="24"/>
                <w:szCs w:val="24"/>
              </w:rPr>
              <w:t>ding</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0.27</w:t>
            </w:r>
          </w:p>
        </w:tc>
        <w:tc>
          <w:tcPr>
            <w:tcW w:w="18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0.106214</w:t>
            </w:r>
          </w:p>
        </w:tc>
        <w:tc>
          <w:tcPr>
            <w:tcW w:w="12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0.006**</w:t>
            </w:r>
          </w:p>
        </w:tc>
      </w:tr>
      <w:tr>
        <w:tblPrEx/>
        <w:trPr/>
        <w:tc>
          <w:tcPr>
            <w:tcW w:w="39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Equal Fair</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0.09</w:t>
            </w:r>
          </w:p>
        </w:tc>
        <w:tc>
          <w:tcPr>
            <w:tcW w:w="18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0.0936102</w:t>
            </w:r>
          </w:p>
        </w:tc>
        <w:tc>
          <w:tcPr>
            <w:tcW w:w="12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0.323</w:t>
            </w:r>
          </w:p>
        </w:tc>
      </w:tr>
      <w:tr>
        <w:tblPrEx/>
        <w:trPr/>
        <w:tc>
          <w:tcPr>
            <w:tcW w:w="39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Government</w:t>
            </w:r>
            <w:r>
              <w:rPr>
                <w:rFonts w:ascii="Times New Roman" w:cs="Times New Roman" w:hAnsi="Times New Roman"/>
                <w:sz w:val="24"/>
                <w:szCs w:val="24"/>
              </w:rPr>
              <w:t xml:space="preserve"> Policy</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0.29</w:t>
            </w:r>
          </w:p>
        </w:tc>
        <w:tc>
          <w:tcPr>
            <w:tcW w:w="18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0.1419631</w:t>
            </w:r>
          </w:p>
        </w:tc>
        <w:tc>
          <w:tcPr>
            <w:tcW w:w="12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0.722</w:t>
            </w:r>
          </w:p>
        </w:tc>
      </w:tr>
      <w:tr>
        <w:tblPrEx/>
        <w:trPr/>
        <w:tc>
          <w:tcPr>
            <w:tcW w:w="39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w:t>
            </w:r>
            <w:r>
              <w:rPr>
                <w:rFonts w:ascii="Times New Roman" w:cs="Times New Roman" w:hAnsi="Times New Roman"/>
                <w:sz w:val="24"/>
                <w:szCs w:val="24"/>
              </w:rPr>
              <w:t>Referral Group</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0.28</w:t>
            </w:r>
          </w:p>
        </w:tc>
        <w:tc>
          <w:tcPr>
            <w:tcW w:w="18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0.1156123</w:t>
            </w:r>
          </w:p>
        </w:tc>
        <w:tc>
          <w:tcPr>
            <w:tcW w:w="12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0.016**</w:t>
            </w:r>
          </w:p>
        </w:tc>
      </w:tr>
      <w:tr>
        <w:tblPrEx/>
        <w:trPr/>
        <w:tc>
          <w:tcPr>
            <w:tcW w:w="39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Fin</w:t>
            </w:r>
            <w:r>
              <w:rPr>
                <w:rFonts w:ascii="Times New Roman" w:cs="Times New Roman" w:hAnsi="Times New Roman"/>
                <w:sz w:val="24"/>
                <w:szCs w:val="24"/>
              </w:rPr>
              <w:t>ancial</w:t>
            </w:r>
            <w:r>
              <w:rPr>
                <w:rFonts w:ascii="Times New Roman" w:cs="Times New Roman" w:hAnsi="Times New Roman"/>
                <w:sz w:val="24"/>
                <w:szCs w:val="24"/>
              </w:rPr>
              <w:t xml:space="preserve"> Cons</w:t>
            </w:r>
            <w:r>
              <w:rPr>
                <w:rFonts w:ascii="Times New Roman" w:cs="Times New Roman" w:hAnsi="Times New Roman"/>
                <w:sz w:val="24"/>
                <w:szCs w:val="24"/>
              </w:rPr>
              <w:t>traint</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0.48</w:t>
            </w:r>
          </w:p>
        </w:tc>
        <w:tc>
          <w:tcPr>
            <w:tcW w:w="18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0.128683</w:t>
            </w:r>
          </w:p>
        </w:tc>
        <w:tc>
          <w:tcPr>
            <w:tcW w:w="12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0.000***</w:t>
            </w:r>
          </w:p>
        </w:tc>
      </w:tr>
      <w:tr>
        <w:tblPrEx/>
        <w:trPr/>
        <w:tc>
          <w:tcPr>
            <w:tcW w:w="39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Awareness of Penalty and offence</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0.41</w:t>
            </w:r>
          </w:p>
        </w:tc>
        <w:tc>
          <w:tcPr>
            <w:tcW w:w="18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0.163431</w:t>
            </w:r>
          </w:p>
        </w:tc>
        <w:tc>
          <w:tcPr>
            <w:tcW w:w="12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0.012**</w:t>
            </w:r>
          </w:p>
        </w:tc>
      </w:tr>
      <w:tr>
        <w:tblPrEx/>
        <w:trPr/>
        <w:tc>
          <w:tcPr>
            <w:tcW w:w="39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 xml:space="preserve"> Tax </w:t>
            </w:r>
            <w:r>
              <w:rPr>
                <w:rFonts w:ascii="Times New Roman" w:cs="Times New Roman" w:hAnsi="Times New Roman"/>
                <w:sz w:val="24"/>
                <w:szCs w:val="24"/>
              </w:rPr>
              <w:t>knowledge</w:t>
            </w:r>
          </w:p>
        </w:tc>
        <w:tc>
          <w:tcPr>
            <w:tcW w:w="108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0.48</w:t>
            </w:r>
          </w:p>
        </w:tc>
        <w:tc>
          <w:tcPr>
            <w:tcW w:w="189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0.1422776</w:t>
            </w:r>
          </w:p>
        </w:tc>
        <w:tc>
          <w:tcPr>
            <w:tcW w:w="1260" w:type="dxa"/>
            <w:tcBorders/>
            <w:tcFitText w:val="false"/>
          </w:tcPr>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0.001***</w:t>
            </w:r>
          </w:p>
        </w:tc>
      </w:tr>
      <w:tr>
        <w:tblPrEx/>
        <w:trPr>
          <w:trHeight w:val="359" w:hRule="atLeast"/>
        </w:trPr>
        <w:tc>
          <w:tcPr>
            <w:tcW w:w="8190" w:type="dxa"/>
            <w:gridSpan w:val="4"/>
            <w:tcBorders/>
            <w:tcFitText w:val="false"/>
          </w:tcPr>
          <w:p>
            <w:pPr>
              <w:pStyle w:val="style0"/>
              <w:tabs>
                <w:tab w:val="left" w:leader="none" w:pos="7545"/>
              </w:tabs>
              <w:spacing w:lineRule="auto" w:line="360"/>
              <w:jc w:val="both"/>
              <w:rPr>
                <w:rFonts w:ascii="Times New Roman" w:cs="Times New Roman" w:hAnsi="Times New Roman"/>
                <w:b/>
                <w:sz w:val="24"/>
                <w:szCs w:val="24"/>
              </w:rPr>
            </w:pPr>
            <w:r>
              <w:rPr>
                <w:rFonts w:ascii="Times New Roman" w:cs="Times New Roman" w:hAnsi="Times New Roman"/>
                <w:b/>
                <w:sz w:val="24"/>
                <w:szCs w:val="24"/>
              </w:rPr>
              <w:t>Probi&gt;Chi2= 0.0000                                                   Pseudo Resul2 =0.2122</w:t>
            </w:r>
          </w:p>
        </w:tc>
      </w:tr>
    </w:tbl>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Note:*significant at p&lt;0.10 **significant at &lt;0.05 *** significant at p&lt;0.001</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lang w:val="en-GB"/>
        </w:rPr>
        <w:t>Source: Survey Result (2025)</w:t>
      </w:r>
    </w:p>
    <w:p>
      <w:pPr>
        <w:pStyle w:val="style0"/>
        <w:spacing w:lineRule="auto" w:line="360"/>
        <w:jc w:val="both"/>
        <w:rPr>
          <w:rFonts w:ascii="Times New Roman" w:cs="Times New Roman" w:hAnsi="Times New Roman"/>
          <w:sz w:val="24"/>
          <w:szCs w:val="24"/>
        </w:rPr>
      </w:pPr>
      <w:r>
        <w:rPr>
          <w:rFonts w:ascii="Times New Roman" w:cs="Times New Roman" w:hAnsi="Times New Roman"/>
          <w:sz w:val="24"/>
          <w:szCs w:val="24"/>
        </w:rPr>
        <w:t>Your study indicated that education was positively associated with tax compliance [Table 9].</w:t>
      </w:r>
      <w:r>
        <w:rPr>
          <w:rFonts w:ascii="Times New Roman" w:cs="Times New Roman" w:hAnsi="Times New Roman"/>
          <w:sz w:val="24"/>
          <w:szCs w:val="24"/>
        </w:rPr>
        <w:t xml:space="preserve"> </w:t>
      </w:r>
      <w:r>
        <w:rPr>
          <w:rFonts w:ascii="Times New Roman" w:cs="Times New Roman" w:hAnsi="Times New Roman"/>
          <w:sz w:val="24"/>
          <w:szCs w:val="24"/>
        </w:rPr>
        <w:t xml:space="preserve">Tax education enhances taxpayers' understanding of tax obligations and rights, which can reduce confusion and improve compliance </w:t>
      </w:r>
      <w:r>
        <w:rPr>
          <w:rFonts w:ascii="Times New Roman" w:cs="Times New Roman" w:hAnsi="Times New Roman"/>
          <w:sz w:val="24"/>
          <w:szCs w:val="24"/>
        </w:rPr>
        <w:t xml:space="preserve">Devos, K. (2005). </w:t>
      </w:r>
      <w:r>
        <w:rPr>
          <w:rFonts w:ascii="Times New Roman" w:cs="Times New Roman" w:hAnsi="Times New Roman"/>
          <w:sz w:val="24"/>
          <w:szCs w:val="24"/>
        </w:rPr>
        <w:t>. Different forms of tax education (general vs. technical) can have varying impacts on tax compliance, suggesting that tailored educational</w:t>
      </w:r>
      <w:r>
        <w:rPr>
          <w:rFonts w:ascii="Times New Roman" w:cs="Times New Roman" w:hAnsi="Times New Roman"/>
          <w:sz w:val="24"/>
          <w:szCs w:val="24"/>
        </w:rPr>
        <w:t xml:space="preserve"> programs may be more effectiv</w:t>
      </w:r>
      <w:r>
        <w:rPr>
          <w:rFonts w:ascii="Times New Roman" w:cs="Times New Roman" w:hAnsi="Times New Roman"/>
          <w:sz w:val="24"/>
          <w:szCs w:val="24"/>
        </w:rPr>
        <w:t>eness Alm, J., &amp; Torgler, B. (2011)</w:t>
      </w:r>
      <w:r>
        <w:rPr>
          <w:rFonts w:ascii="Times New Roman" w:cs="Times New Roman" w:hAnsi="Times New Roman"/>
          <w:sz w:val="24"/>
          <w:szCs w:val="24"/>
        </w:rPr>
        <w:t>. Taxpayer education can lead to a better understanding of the tax process, which influences tax compliance decisions</w:t>
      </w:r>
      <w:r>
        <w:rPr>
          <w:rFonts w:ascii="Times New Roman" w:cs="Times New Roman" w:hAnsi="Times New Roman"/>
          <w:sz w:val="24"/>
          <w:szCs w:val="24"/>
        </w:rPr>
        <w:t>.</w:t>
      </w:r>
    </w:p>
    <w:p>
      <w:pPr>
        <w:pStyle w:val="style0"/>
        <w:spacing w:lineRule="auto" w:line="360"/>
        <w:jc w:val="both"/>
        <w:rPr>
          <w:rFonts w:ascii="Times New Roman" w:cs="Times New Roman" w:hAnsi="Times New Roman"/>
          <w:sz w:val="24"/>
          <w:szCs w:val="24"/>
        </w:rPr>
      </w:pPr>
      <w:r>
        <w:rPr>
          <w:rFonts w:ascii="Times New Roman" w:cs="Times New Roman" w:hAnsi="Times New Roman"/>
          <w:bCs/>
          <w:sz w:val="24"/>
          <w:szCs w:val="24"/>
        </w:rPr>
        <w:t xml:space="preserve">Tax Audit: </w:t>
      </w:r>
      <w:r>
        <w:rPr>
          <w:rFonts w:ascii="Times New Roman" w:cs="Times New Roman" w:hAnsi="Times New Roman"/>
          <w:sz w:val="24"/>
          <w:szCs w:val="24"/>
        </w:rPr>
        <w:t>Your results showed that the probability of being audited is positively associated with tax compliance [Table 9].</w:t>
      </w:r>
      <w:r>
        <w:rPr>
          <w:rFonts w:ascii="Times New Roman" w:cs="Times New Roman" w:hAnsi="Times New Roman"/>
          <w:bCs/>
          <w:sz w:val="24"/>
          <w:szCs w:val="24"/>
        </w:rPr>
        <w:t xml:space="preserve"> </w:t>
      </w:r>
      <w:r>
        <w:rPr>
          <w:rFonts w:ascii="Times New Roman" w:cs="Times New Roman" w:hAnsi="Times New Roman"/>
          <w:sz w:val="24"/>
          <w:szCs w:val="24"/>
        </w:rPr>
        <w:t xml:space="preserve">Tax audits deter underreporting across the broader population and encourage individuals to report </w:t>
      </w:r>
      <w:r>
        <w:rPr>
          <w:rFonts w:ascii="Times New Roman" w:cs="Times New Roman" w:hAnsi="Times New Roman"/>
          <w:sz w:val="24"/>
          <w:szCs w:val="24"/>
        </w:rPr>
        <w:t>more income in subsequent years</w:t>
      </w:r>
      <w:r>
        <w:rPr>
          <w:rFonts w:ascii="Times New Roman" w:cs="Times New Roman" w:hAnsi="Times New Roman"/>
          <w:sz w:val="24"/>
          <w:szCs w:val="24"/>
        </w:rPr>
        <w:t>.</w:t>
      </w:r>
      <w:r>
        <w:rPr>
          <w:rFonts w:ascii="Times New Roman" w:cs="Times New Roman" w:hAnsi="Times New Roman"/>
          <w:bCs/>
          <w:sz w:val="24"/>
          <w:szCs w:val="24"/>
        </w:rPr>
        <w:t xml:space="preserve"> </w:t>
      </w:r>
      <w:r>
        <w:rPr>
          <w:rFonts w:ascii="Times New Roman" w:cs="Times New Roman" w:hAnsi="Times New Roman"/>
          <w:sz w:val="24"/>
          <w:szCs w:val="24"/>
        </w:rPr>
        <w:t>Effective audits lead to an increa</w:t>
      </w:r>
      <w:r>
        <w:rPr>
          <w:rFonts w:ascii="Times New Roman" w:cs="Times New Roman" w:hAnsi="Times New Roman"/>
          <w:sz w:val="24"/>
          <w:szCs w:val="24"/>
        </w:rPr>
        <w:t>se in post-audit tax compliance</w:t>
      </w:r>
      <w:r>
        <w:rPr>
          <w:rFonts w:ascii="Times New Roman" w:cs="Times New Roman" w:hAnsi="Times New Roman"/>
          <w:sz w:val="24"/>
          <w:szCs w:val="24"/>
        </w:rPr>
        <w:t>.</w:t>
      </w:r>
      <w:r>
        <w:rPr>
          <w:rFonts w:ascii="Times New Roman" w:cs="Times New Roman" w:hAnsi="Times New Roman"/>
          <w:bCs/>
          <w:sz w:val="24"/>
          <w:szCs w:val="24"/>
        </w:rPr>
        <w:t xml:space="preserve"> </w:t>
      </w:r>
      <w:r>
        <w:rPr>
          <w:rFonts w:ascii="Times New Roman" w:cs="Times New Roman" w:hAnsi="Times New Roman"/>
          <w:sz w:val="24"/>
          <w:szCs w:val="24"/>
        </w:rPr>
        <w:t>The possibility of detection through an audit discourages individuals and businesses from engaging in dishonest practices, promoting a culture of compliance</w:t>
      </w:r>
      <w:r>
        <w:rPr>
          <w:rFonts w:ascii="Times New Roman" w:cs="Times New Roman" w:hAnsi="Times New Roman"/>
          <w:sz w:val="24"/>
          <w:szCs w:val="24"/>
        </w:rPr>
        <w:t>Alm, J., &amp; Torgler, B. (2011)</w:t>
      </w:r>
      <w:r>
        <w:rPr>
          <w:rFonts w:ascii="Times New Roman" w:cs="Times New Roman" w:hAnsi="Times New Roman"/>
          <w:sz w:val="24"/>
          <w:szCs w:val="24"/>
        </w:rPr>
        <w:t>.</w:t>
      </w:r>
    </w:p>
    <w:p>
      <w:pPr>
        <w:pStyle w:val="style0"/>
        <w:spacing w:lineRule="auto" w:line="360"/>
        <w:jc w:val="both"/>
        <w:rPr>
          <w:rFonts w:ascii="Times New Roman" w:cs="Times New Roman" w:hAnsi="Times New Roman"/>
          <w:sz w:val="24"/>
          <w:szCs w:val="24"/>
        </w:rPr>
      </w:pPr>
      <w:r>
        <w:rPr>
          <w:rFonts w:ascii="Times New Roman" w:cs="Times New Roman" w:hAnsi="Times New Roman"/>
          <w:bCs/>
          <w:sz w:val="24"/>
          <w:szCs w:val="24"/>
        </w:rPr>
        <w:t xml:space="preserve">Government Spending: </w:t>
      </w:r>
      <w:r>
        <w:rPr>
          <w:rFonts w:ascii="Times New Roman" w:cs="Times New Roman" w:hAnsi="Times New Roman"/>
          <w:sz w:val="24"/>
          <w:szCs w:val="24"/>
        </w:rPr>
        <w:t>Your analysis suggested a positive relationship between government spending and tax compliance [Table 9].</w:t>
      </w:r>
      <w:r>
        <w:rPr>
          <w:rFonts w:ascii="Times New Roman" w:cs="Times New Roman" w:hAnsi="Times New Roman"/>
          <w:bCs/>
          <w:sz w:val="24"/>
          <w:szCs w:val="24"/>
        </w:rPr>
        <w:t xml:space="preserve"> </w:t>
      </w:r>
      <w:r>
        <w:rPr>
          <w:rFonts w:ascii="Times New Roman" w:cs="Times New Roman" w:hAnsi="Times New Roman"/>
          <w:sz w:val="24"/>
          <w:szCs w:val="24"/>
        </w:rPr>
        <w:t xml:space="preserve">When individuals perceive that tax revenues are used wisely for public necessities like education, health, safety, and public transportation, voluntary compliance may increase </w:t>
      </w:r>
      <w:r>
        <w:rPr>
          <w:rFonts w:ascii="Times New Roman" w:cs="Times New Roman" w:hAnsi="Times New Roman"/>
          <w:sz w:val="24"/>
          <w:szCs w:val="24"/>
        </w:rPr>
        <w:t>Torgler, B. (2007)</w:t>
      </w:r>
      <w:r>
        <w:rPr>
          <w:rFonts w:ascii="Times New Roman" w:cs="Times New Roman" w:hAnsi="Times New Roman"/>
          <w:sz w:val="24"/>
          <w:szCs w:val="24"/>
        </w:rPr>
        <w:t>.</w:t>
      </w:r>
      <w:r>
        <w:rPr>
          <w:rFonts w:ascii="Times New Roman" w:cs="Times New Roman" w:hAnsi="Times New Roman"/>
          <w:bCs/>
          <w:sz w:val="24"/>
          <w:szCs w:val="24"/>
        </w:rPr>
        <w:t xml:space="preserve"> </w:t>
      </w:r>
      <w:r>
        <w:rPr>
          <w:rFonts w:ascii="Times New Roman" w:cs="Times New Roman" w:hAnsi="Times New Roman"/>
          <w:sz w:val="24"/>
          <w:szCs w:val="24"/>
        </w:rPr>
        <w:t>Transparency in government spending can enhance trust and reassure taxpayers that their paym</w:t>
      </w:r>
      <w:r>
        <w:rPr>
          <w:rFonts w:ascii="Times New Roman" w:cs="Times New Roman" w:hAnsi="Times New Roman"/>
          <w:sz w:val="24"/>
          <w:szCs w:val="24"/>
        </w:rPr>
        <w:t>ents are being used effectiveness</w:t>
      </w:r>
      <w:r>
        <w:rPr>
          <w:rFonts w:ascii="Times New Roman" w:cs="Times New Roman" w:hAnsi="Times New Roman"/>
          <w:sz w:val="24"/>
          <w:szCs w:val="24"/>
        </w:rPr>
        <w:t>.</w:t>
      </w:r>
    </w:p>
    <w:p>
      <w:pPr>
        <w:pStyle w:val="style0"/>
        <w:spacing w:lineRule="auto" w:line="360"/>
        <w:jc w:val="both"/>
        <w:rPr>
          <w:rFonts w:ascii="Times New Roman" w:cs="Times New Roman" w:hAnsi="Times New Roman"/>
          <w:sz w:val="24"/>
          <w:szCs w:val="24"/>
        </w:rPr>
      </w:pPr>
      <w:r>
        <w:rPr>
          <w:rFonts w:ascii="Times New Roman" w:cs="Times New Roman" w:hAnsi="Times New Roman"/>
          <w:bCs/>
          <w:sz w:val="24"/>
          <w:szCs w:val="24"/>
        </w:rPr>
        <w:t xml:space="preserve">Referral Group: </w:t>
      </w:r>
      <w:r>
        <w:rPr>
          <w:rFonts w:ascii="Times New Roman" w:cs="Times New Roman" w:hAnsi="Times New Roman"/>
          <w:sz w:val="24"/>
          <w:szCs w:val="24"/>
        </w:rPr>
        <w:t>Your study indicated a significant relationship between referral group influence and tax compliance [Table 9].</w:t>
      </w:r>
      <w:r>
        <w:rPr>
          <w:rFonts w:ascii="Times New Roman" w:cs="Times New Roman" w:hAnsi="Times New Roman"/>
          <w:bCs/>
          <w:sz w:val="24"/>
          <w:szCs w:val="24"/>
        </w:rPr>
        <w:t xml:space="preserve"> </w:t>
      </w:r>
      <w:r>
        <w:rPr>
          <w:rFonts w:ascii="Times New Roman" w:cs="Times New Roman" w:hAnsi="Times New Roman"/>
          <w:sz w:val="24"/>
          <w:szCs w:val="24"/>
        </w:rPr>
        <w:t>Taxpayers may decide to commit the same actions if they perceive that peers are noncompliant and have never been p</w:t>
      </w:r>
      <w:r>
        <w:rPr>
          <w:rFonts w:ascii="Times New Roman" w:cs="Times New Roman" w:hAnsi="Times New Roman"/>
          <w:sz w:val="24"/>
          <w:szCs w:val="24"/>
        </w:rPr>
        <w:t>enalized Torgler, B. (2007)</w:t>
      </w:r>
      <w:r>
        <w:rPr>
          <w:rFonts w:ascii="Times New Roman" w:cs="Times New Roman" w:hAnsi="Times New Roman"/>
          <w:sz w:val="24"/>
          <w:szCs w:val="24"/>
        </w:rPr>
        <w:t>.</w:t>
      </w:r>
      <w:r>
        <w:rPr>
          <w:rFonts w:ascii="Times New Roman" w:cs="Times New Roman" w:hAnsi="Times New Roman"/>
          <w:bCs/>
          <w:sz w:val="24"/>
          <w:szCs w:val="24"/>
        </w:rPr>
        <w:t xml:space="preserve"> </w:t>
      </w:r>
      <w:r>
        <w:rPr>
          <w:rFonts w:ascii="Times New Roman" w:cs="Times New Roman" w:hAnsi="Times New Roman"/>
          <w:sz w:val="24"/>
          <w:szCs w:val="24"/>
        </w:rPr>
        <w:t>Friends and family members can significantly influence</w:t>
      </w:r>
      <w:r>
        <w:rPr>
          <w:rFonts w:ascii="Times New Roman" w:cs="Times New Roman" w:hAnsi="Times New Roman"/>
          <w:sz w:val="24"/>
          <w:szCs w:val="24"/>
        </w:rPr>
        <w:t xml:space="preserve"> taxpayers' behavior</w:t>
      </w:r>
      <w:r>
        <w:rPr>
          <w:rFonts w:ascii="Times New Roman" w:cs="Times New Roman" w:hAnsi="Times New Roman"/>
          <w:sz w:val="24"/>
          <w:szCs w:val="24"/>
        </w:rPr>
        <w:t>.</w:t>
      </w:r>
      <w:r>
        <w:rPr>
          <w:rFonts w:ascii="Times New Roman" w:cs="Times New Roman" w:hAnsi="Times New Roman"/>
          <w:bCs/>
          <w:sz w:val="24"/>
          <w:szCs w:val="24"/>
        </w:rPr>
        <w:t xml:space="preserve"> </w:t>
      </w:r>
      <w:r>
        <w:rPr>
          <w:rFonts w:ascii="Times New Roman" w:cs="Times New Roman" w:hAnsi="Times New Roman"/>
          <w:sz w:val="24"/>
          <w:szCs w:val="24"/>
        </w:rPr>
        <w:t>Social norms influence compliance intentions indirectly through in</w:t>
      </w:r>
      <w:r>
        <w:rPr>
          <w:rFonts w:ascii="Times New Roman" w:cs="Times New Roman" w:hAnsi="Times New Roman"/>
          <w:sz w:val="24"/>
          <w:szCs w:val="24"/>
        </w:rPr>
        <w:t>ternalization as personal norms</w:t>
      </w:r>
      <w:r>
        <w:rPr>
          <w:rFonts w:ascii="Times New Roman" w:cs="Times New Roman" w:hAnsi="Times New Roman"/>
          <w:sz w:val="24"/>
          <w:szCs w:val="24"/>
        </w:rPr>
        <w:t>.</w:t>
      </w:r>
      <w:r>
        <w:rPr>
          <w:rFonts w:ascii="Times New Roman" w:cs="Times New Roman" w:hAnsi="Times New Roman"/>
          <w:sz w:val="24"/>
          <w:szCs w:val="24"/>
        </w:rPr>
        <w:t xml:space="preserve"> </w:t>
      </w:r>
      <w:r>
        <w:rPr>
          <w:rFonts w:ascii="Times New Roman" w:cs="Times New Roman" w:hAnsi="Times New Roman"/>
          <w:bCs/>
          <w:sz w:val="24"/>
          <w:szCs w:val="24"/>
        </w:rPr>
        <w:t xml:space="preserve">Financial Constraint: </w:t>
      </w:r>
      <w:r>
        <w:rPr>
          <w:rFonts w:ascii="Times New Roman" w:cs="Times New Roman" w:hAnsi="Times New Roman"/>
          <w:sz w:val="24"/>
          <w:szCs w:val="24"/>
        </w:rPr>
        <w:t>Your results showed that personal financial constraints are negatively associated with tax compliance [Table 9].</w:t>
      </w:r>
      <w:r>
        <w:rPr>
          <w:rFonts w:ascii="Times New Roman" w:cs="Times New Roman" w:hAnsi="Times New Roman"/>
          <w:bCs/>
          <w:sz w:val="24"/>
          <w:szCs w:val="24"/>
        </w:rPr>
        <w:t xml:space="preserve"> </w:t>
      </w:r>
      <w:r>
        <w:rPr>
          <w:rFonts w:ascii="Times New Roman" w:cs="Times New Roman" w:hAnsi="Times New Roman"/>
          <w:sz w:val="24"/>
          <w:szCs w:val="24"/>
        </w:rPr>
        <w:t xml:space="preserve">Taxpayers facing financial difficulties may prioritize their own needs over tax obligations </w:t>
      </w:r>
      <w:r>
        <w:rPr>
          <w:rFonts w:ascii="Times New Roman" w:cs="Times New Roman" w:hAnsi="Times New Roman"/>
          <w:sz w:val="24"/>
          <w:szCs w:val="24"/>
        </w:rPr>
        <w:t>Alm, J., &amp; Torgler, B. (2011)</w:t>
      </w:r>
      <w:r>
        <w:rPr>
          <w:rFonts w:ascii="Times New Roman" w:cs="Times New Roman" w:hAnsi="Times New Roman"/>
          <w:sz w:val="24"/>
          <w:szCs w:val="24"/>
        </w:rPr>
        <w:t>.</w:t>
      </w:r>
    </w:p>
    <w:p>
      <w:pPr>
        <w:pStyle w:val="style0"/>
        <w:spacing w:lineRule="auto" w:line="360"/>
        <w:jc w:val="both"/>
        <w:rPr>
          <w:rFonts w:ascii="Times New Roman" w:cs="Times New Roman" w:hAnsi="Times New Roman"/>
          <w:sz w:val="24"/>
          <w:szCs w:val="24"/>
        </w:rPr>
      </w:pPr>
      <w:r>
        <w:rPr>
          <w:rFonts w:ascii="Times New Roman" w:cs="Times New Roman" w:hAnsi="Times New Roman"/>
          <w:bCs/>
          <w:sz w:val="24"/>
          <w:szCs w:val="24"/>
        </w:rPr>
        <w:t>Awareness of Penalty and Offense</w:t>
      </w:r>
      <w:r>
        <w:rPr>
          <w:rFonts w:ascii="Times New Roman" w:cs="Times New Roman" w:hAnsi="Times New Roman"/>
          <w:bCs/>
          <w:sz w:val="24"/>
          <w:szCs w:val="24"/>
        </w:rPr>
        <w:t xml:space="preserve">: </w:t>
      </w:r>
      <w:r>
        <w:rPr>
          <w:rFonts w:ascii="Times New Roman" w:cs="Times New Roman" w:hAnsi="Times New Roman"/>
          <w:sz w:val="24"/>
          <w:szCs w:val="24"/>
        </w:rPr>
        <w:t>Your study indicated that awareness of penalties is positively associated with tax compliance [Table 9].</w:t>
      </w:r>
      <w:r>
        <w:rPr>
          <w:rFonts w:ascii="Times New Roman" w:cs="Times New Roman" w:hAnsi="Times New Roman"/>
          <w:bCs/>
          <w:sz w:val="24"/>
          <w:szCs w:val="24"/>
        </w:rPr>
        <w:t xml:space="preserve"> </w:t>
      </w:r>
      <w:r>
        <w:rPr>
          <w:rFonts w:ascii="Times New Roman" w:cs="Times New Roman" w:hAnsi="Times New Roman"/>
          <w:sz w:val="24"/>
          <w:szCs w:val="24"/>
        </w:rPr>
        <w:t>The potential risk of detection and penalties raised after tax audit engagements</w:t>
      </w:r>
      <w:r>
        <w:rPr>
          <w:rFonts w:ascii="Times New Roman" w:cs="Times New Roman" w:hAnsi="Times New Roman"/>
          <w:sz w:val="24"/>
          <w:szCs w:val="24"/>
        </w:rPr>
        <w:t xml:space="preserve"> encourages taxpayers to comply</w:t>
      </w:r>
      <w:r>
        <w:rPr>
          <w:rFonts w:ascii="Times New Roman" w:cs="Times New Roman" w:hAnsi="Times New Roman"/>
          <w:sz w:val="24"/>
          <w:szCs w:val="24"/>
        </w:rPr>
        <w:t>.</w:t>
      </w:r>
      <w:r>
        <w:rPr>
          <w:rFonts w:ascii="Times New Roman" w:cs="Times New Roman" w:hAnsi="Times New Roman"/>
          <w:bCs/>
          <w:sz w:val="24"/>
          <w:szCs w:val="24"/>
        </w:rPr>
        <w:t xml:space="preserve"> </w:t>
      </w:r>
      <w:r>
        <w:rPr>
          <w:rFonts w:ascii="Times New Roman" w:cs="Times New Roman" w:hAnsi="Times New Roman"/>
          <w:sz w:val="24"/>
          <w:szCs w:val="24"/>
        </w:rPr>
        <w:t>Clear communication regarding penalties for non-c</w:t>
      </w:r>
      <w:r>
        <w:rPr>
          <w:rFonts w:ascii="Times New Roman" w:cs="Times New Roman" w:hAnsi="Times New Roman"/>
          <w:sz w:val="24"/>
          <w:szCs w:val="24"/>
        </w:rPr>
        <w:t>ompliance reinforces complianceAlm, J., &amp; Torgler, B. (2011)</w:t>
      </w:r>
      <w:r>
        <w:rPr>
          <w:rFonts w:ascii="Times New Roman" w:cs="Times New Roman" w:hAnsi="Times New Roman"/>
          <w:sz w:val="24"/>
          <w:szCs w:val="24"/>
        </w:rPr>
        <w:t>.</w:t>
      </w:r>
      <w:r>
        <w:rPr>
          <w:rFonts w:ascii="Times New Roman" w:cs="Times New Roman" w:hAnsi="Times New Roman"/>
          <w:sz w:val="24"/>
          <w:szCs w:val="24"/>
        </w:rPr>
        <w:t xml:space="preserve"> </w:t>
      </w:r>
      <w:r>
        <w:rPr>
          <w:rFonts w:ascii="Times New Roman" w:cs="Times New Roman" w:hAnsi="Times New Roman"/>
          <w:bCs/>
          <w:sz w:val="24"/>
          <w:szCs w:val="24"/>
        </w:rPr>
        <w:t>Tax Knowledge</w:t>
      </w:r>
      <w:r>
        <w:rPr>
          <w:rFonts w:ascii="Times New Roman" w:cs="Times New Roman" w:hAnsi="Times New Roman"/>
          <w:bCs/>
          <w:sz w:val="24"/>
          <w:szCs w:val="24"/>
        </w:rPr>
        <w:t xml:space="preserve">: </w:t>
      </w:r>
      <w:r>
        <w:rPr>
          <w:rFonts w:ascii="Times New Roman" w:cs="Times New Roman" w:hAnsi="Times New Roman"/>
          <w:sz w:val="24"/>
          <w:szCs w:val="24"/>
        </w:rPr>
        <w:t>Your analysis suggested that tax knowledge is positively associated with tax compliance [Table 9].</w:t>
      </w:r>
      <w:r>
        <w:rPr>
          <w:rFonts w:ascii="Times New Roman" w:cs="Times New Roman" w:hAnsi="Times New Roman"/>
          <w:bCs/>
          <w:sz w:val="24"/>
          <w:szCs w:val="24"/>
        </w:rPr>
        <w:t xml:space="preserve"> </w:t>
      </w:r>
      <w:r>
        <w:rPr>
          <w:rFonts w:ascii="Times New Roman" w:cs="Times New Roman" w:hAnsi="Times New Roman"/>
          <w:sz w:val="24"/>
          <w:szCs w:val="24"/>
        </w:rPr>
        <w:t>Tax knowledge has a strong relationship with taxpayers' ability to understand tax laws and regulations</w:t>
      </w:r>
      <w:r>
        <w:rPr>
          <w:rFonts w:ascii="Times New Roman" w:cs="Times New Roman" w:hAnsi="Times New Roman"/>
          <w:sz w:val="24"/>
          <w:szCs w:val="24"/>
        </w:rPr>
        <w:t xml:space="preserve"> Torgler, B. (2011)</w:t>
      </w:r>
      <w:r>
        <w:rPr>
          <w:rFonts w:ascii="Times New Roman" w:cs="Times New Roman" w:hAnsi="Times New Roman"/>
          <w:sz w:val="24"/>
          <w:szCs w:val="24"/>
        </w:rPr>
        <w:t>.</w:t>
      </w:r>
      <w:r>
        <w:rPr>
          <w:rFonts w:ascii="Times New Roman" w:cs="Times New Roman" w:hAnsi="Times New Roman"/>
          <w:bCs/>
          <w:sz w:val="24"/>
          <w:szCs w:val="24"/>
        </w:rPr>
        <w:t xml:space="preserve"> </w:t>
      </w:r>
      <w:r>
        <w:rPr>
          <w:rFonts w:ascii="Times New Roman" w:cs="Times New Roman" w:hAnsi="Times New Roman"/>
          <w:sz w:val="24"/>
          <w:szCs w:val="24"/>
        </w:rPr>
        <w:t>Adequate learning and knowledge in taxation facilitate taxpayers to furnish tax r</w:t>
      </w:r>
      <w:r>
        <w:rPr>
          <w:rFonts w:ascii="Times New Roman" w:cs="Times New Roman" w:hAnsi="Times New Roman"/>
          <w:sz w:val="24"/>
          <w:szCs w:val="24"/>
        </w:rPr>
        <w:t>eturns correctly and accurately.</w:t>
      </w: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rPr>
      </w:pPr>
    </w:p>
    <w:p>
      <w:pPr>
        <w:pStyle w:val="style0"/>
        <w:tabs>
          <w:tab w:val="left" w:leader="none" w:pos="7545"/>
        </w:tabs>
        <w:spacing w:lineRule="auto" w:line="360"/>
        <w:jc w:val="both"/>
        <w:rPr>
          <w:rFonts w:ascii="Times New Roman" w:cs="Times New Roman" w:hAnsi="Times New Roman"/>
          <w:sz w:val="24"/>
          <w:szCs w:val="24"/>
          <w:lang w:val="en-GB"/>
        </w:rPr>
      </w:pPr>
    </w:p>
    <w:p>
      <w:pPr>
        <w:pStyle w:val="style0"/>
        <w:tabs>
          <w:tab w:val="left" w:leader="none" w:pos="7545"/>
        </w:tabs>
        <w:spacing w:lineRule="auto" w:line="360"/>
        <w:jc w:val="both"/>
        <w:rPr>
          <w:rFonts w:ascii="Times New Roman" w:cs="Times New Roman" w:hAnsi="Times New Roman"/>
          <w:sz w:val="24"/>
          <w:szCs w:val="24"/>
          <w:lang w:val="en-GB"/>
        </w:rPr>
      </w:pPr>
    </w:p>
    <w:p>
      <w:pPr>
        <w:pStyle w:val="style0"/>
        <w:tabs>
          <w:tab w:val="left" w:leader="none" w:pos="7545"/>
        </w:tabs>
        <w:spacing w:lineRule="auto" w:line="360"/>
        <w:jc w:val="both"/>
        <w:rPr>
          <w:rFonts w:ascii="Times New Roman" w:cs="Times New Roman" w:hAnsi="Times New Roman"/>
          <w:sz w:val="24"/>
          <w:szCs w:val="24"/>
          <w:lang w:val="en-GB"/>
        </w:rPr>
      </w:pPr>
    </w:p>
    <w:p>
      <w:pPr>
        <w:pStyle w:val="style0"/>
        <w:tabs>
          <w:tab w:val="left" w:leader="none" w:pos="7545"/>
        </w:tabs>
        <w:spacing w:lineRule="auto" w:line="360"/>
        <w:jc w:val="both"/>
        <w:rPr>
          <w:rFonts w:ascii="Times New Roman" w:cs="Times New Roman" w:hAnsi="Times New Roman"/>
          <w:sz w:val="24"/>
          <w:szCs w:val="24"/>
          <w:lang w:val="en-GB"/>
        </w:rPr>
      </w:pPr>
    </w:p>
    <w:p>
      <w:pPr>
        <w:pStyle w:val="style0"/>
        <w:tabs>
          <w:tab w:val="left" w:leader="none" w:pos="7545"/>
        </w:tabs>
        <w:spacing w:lineRule="auto" w:line="360"/>
        <w:jc w:val="both"/>
        <w:rPr>
          <w:rFonts w:ascii="Times New Roman" w:cs="Times New Roman" w:hAnsi="Times New Roman"/>
          <w:sz w:val="24"/>
          <w:szCs w:val="24"/>
          <w:lang w:val="en-GB"/>
        </w:rPr>
      </w:pPr>
    </w:p>
    <w:p>
      <w:pPr>
        <w:pStyle w:val="style0"/>
        <w:tabs>
          <w:tab w:val="left" w:leader="none" w:pos="7545"/>
        </w:tabs>
        <w:spacing w:lineRule="auto" w:line="360"/>
        <w:jc w:val="both"/>
        <w:rPr>
          <w:rFonts w:ascii="Times New Roman" w:cs="Times New Roman" w:hAnsi="Times New Roman"/>
          <w:sz w:val="24"/>
          <w:szCs w:val="24"/>
          <w:lang w:val="en-GB"/>
        </w:rPr>
      </w:pPr>
    </w:p>
    <w:p>
      <w:pPr>
        <w:pStyle w:val="style0"/>
        <w:tabs>
          <w:tab w:val="left" w:leader="none" w:pos="7545"/>
        </w:tabs>
        <w:spacing w:lineRule="auto" w:line="360"/>
        <w:jc w:val="both"/>
        <w:rPr>
          <w:rFonts w:ascii="Times New Roman" w:cs="Times New Roman" w:hAnsi="Times New Roman"/>
          <w:sz w:val="24"/>
          <w:szCs w:val="24"/>
          <w:lang w:val="en-GB"/>
        </w:rPr>
      </w:pPr>
    </w:p>
    <w:bookmarkStart w:id="168" w:name="_Toc204249799"/>
    <w:p>
      <w:pPr>
        <w:pStyle w:val="style1"/>
        <w:jc w:val="center"/>
        <w:rPr>
          <w:rFonts w:ascii="Times New Roman" w:cs="Times New Roman" w:hAnsi="Times New Roman"/>
          <w:color w:val="auto"/>
        </w:rPr>
      </w:pPr>
      <w:r>
        <w:rPr>
          <w:rFonts w:ascii="Times New Roman" w:cs="Times New Roman" w:hAnsi="Times New Roman"/>
          <w:color w:val="auto"/>
        </w:rPr>
        <w:t>CHAPTERFIVE</w:t>
      </w:r>
      <w:bookmarkEnd w:id="168"/>
    </w:p>
    <w:bookmarkStart w:id="169" w:name="_Toc203285123"/>
    <w:bookmarkStart w:id="170" w:name="_Toc204249800"/>
    <w:p>
      <w:pPr>
        <w:pStyle w:val="style2"/>
        <w:rPr>
          <w:sz w:val="24"/>
        </w:rPr>
      </w:pPr>
      <w:r>
        <w:rPr>
          <w:sz w:val="24"/>
        </w:rPr>
        <w:t>5. CONCLUSIONS AND RECOMMENDATION</w:t>
      </w:r>
      <w:bookmarkEnd w:id="169"/>
      <w:bookmarkEnd w:id="170"/>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The major objective of this study was to assess factors that motivate Voluntary Tax Compliance of Category Taxpayers evidence From Burayu City. This chapter presents the conclusions and recommendations. The purpose of the chapter is to review the whole thesis and highlight future research directions. Accordingly, section one presents overview of the thesis and its major findings while the second section presents the recommendations with future research directions.</w:t>
      </w:r>
    </w:p>
    <w:bookmarkStart w:id="171" w:name="_Toc203285124"/>
    <w:bookmarkStart w:id="172" w:name="_Toc204249801"/>
    <w:p>
      <w:pPr>
        <w:pStyle w:val="style3"/>
        <w:rPr>
          <w:rFonts w:ascii="Times New Roman" w:cs="Times New Roman" w:hAnsi="Times New Roman"/>
          <w:color w:val="auto"/>
        </w:rPr>
      </w:pPr>
      <w:r>
        <w:rPr>
          <w:rFonts w:ascii="Times New Roman" w:cs="Times New Roman" w:hAnsi="Times New Roman"/>
          <w:color w:val="auto"/>
        </w:rPr>
        <w:t xml:space="preserve">5.1. </w:t>
      </w:r>
      <w:r>
        <w:rPr>
          <w:rFonts w:ascii="Times New Roman" w:cs="Times New Roman" w:hAnsi="Times New Roman"/>
          <w:color w:val="auto"/>
        </w:rPr>
        <w:t>Conclusions</w:t>
      </w:r>
      <w:bookmarkEnd w:id="171"/>
      <w:bookmarkEnd w:id="172"/>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This study investigated the determinants of tax compliance behavior among business taxpayers, employing both descriptive and inferential statistical analyses. The findings indicate that various demographic, economic, social, and individual factors significantly influence tax compliance. The analysis revealed that education, tax audits, government spending, referral groups, financial constraints, awareness of penalties, and tax knowledge are critical determinants of tax compliance. Specifically, higher educational attainment and increased awareness of penalties positively correlate with compliance rates. Conversely, financial constraints negatively impact the likelihood of compliance, as individuals facing economic hardships prioritize immediate financial obligations over tax payments. The results underscore that taxpayers’ perceptions of government effectiveness and fairness in spending also play a vital role in shaping compliance behavior. When taxpayers believe that their taxes contribute to valuable public services, their inclination to comply increases.</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Based on the presiding analysis the paper finally drawn the following conclusions/findings</w:t>
      </w:r>
      <w:r>
        <w:rPr>
          <w:rFonts w:ascii="Times New Roman" w:cs="Times New Roman" w:hAnsi="Times New Roman"/>
          <w:sz w:val="24"/>
          <w:szCs w:val="24"/>
        </w:rPr>
        <w:t xml:space="preserve">. </w:t>
      </w:r>
      <w:r>
        <w:rPr>
          <w:rFonts w:ascii="Times New Roman" w:cs="Times New Roman" w:hAnsi="Times New Roman"/>
          <w:sz w:val="24"/>
          <w:szCs w:val="24"/>
        </w:rPr>
        <w:t>The study evaluates tax compliance attitudes through the utilization of indirect and hypothetical inquiries, and the outcomes of the descriptive analysis of both scenarios revealed that a significant proportion of participants exhibited non-compliance. This finding suggests a necessity for governmental action to address the determinant factors that may enhance tax revenue. In the second scenario, a predominant number of respondents asserted their compliance; this may be attributable to the inherently sensitive nature of compliance behavior, as elucidated in the limitations section of this manuscript. Consequently, this scenario was excluded from subsequent analysis.</w:t>
      </w:r>
    </w:p>
    <w:p>
      <w:pPr>
        <w:pStyle w:val="style0"/>
        <w:tabs>
          <w:tab w:val="left" w:leader="none" w:pos="7545"/>
        </w:tabs>
        <w:spacing w:lineRule="auto" w:line="360"/>
        <w:jc w:val="both"/>
        <w:rPr>
          <w:rFonts w:ascii="Times New Roman" w:cs="Times New Roman" w:hAnsi="Times New Roman"/>
          <w:sz w:val="24"/>
          <w:szCs w:val="24"/>
        </w:rPr>
      </w:pPr>
      <w:r>
        <w:rPr>
          <w:rFonts w:ascii="Times New Roman" w:cs="Times New Roman" w:hAnsi="Times New Roman"/>
          <w:sz w:val="24"/>
          <w:szCs w:val="24"/>
        </w:rPr>
        <w:t>Personal financial limitations are posited to exert a significant influence on tax evasion, as the financial distress experienced by participants may compel them to prioritize expenditures related to fundamental survival needs (such as food, clothing, and housing) or to address immediate obligations dictated by their constrained financial resources (for instance, the perceived threat of actions from creditors). Consistent with prior research findings, the findings derived from the analysis presented in this thesis suggest that personal financial constraints contribute to the non-compliance behavior exhibited</w:t>
      </w:r>
      <w:r>
        <w:rPr>
          <w:rFonts w:ascii="Times New Roman" w:cs="Times New Roman" w:hAnsi="Times New Roman"/>
          <w:sz w:val="24"/>
          <w:szCs w:val="24"/>
        </w:rPr>
        <w:t xml:space="preserve"> by taxpayers in the study area.</w:t>
      </w:r>
    </w:p>
    <w:p>
      <w:pPr>
        <w:pStyle w:val="style0"/>
        <w:spacing w:lineRule="auto" w:line="360"/>
        <w:jc w:val="both"/>
        <w:rPr>
          <w:rFonts w:ascii="Times New Roman" w:cs="Times New Roman" w:hAnsi="Times New Roman"/>
          <w:sz w:val="24"/>
        </w:rPr>
      </w:pPr>
      <w:r>
        <w:rPr>
          <w:rFonts w:ascii="Times New Roman" w:cs="Times New Roman" w:hAnsi="Times New Roman"/>
          <w:sz w:val="24"/>
        </w:rPr>
        <w:t>The study's findings showed that taxpayers who are aware of and comprehend tax laws and regulations are fulfilling their obligations. It is possible to enhance tax attitudes by gaining more knowledge about taxes (Eriksen and Fallan, 1996).</w:t>
      </w:r>
    </w:p>
    <w:p>
      <w:pPr>
        <w:pStyle w:val="style0"/>
        <w:spacing w:lineRule="auto" w:line="360"/>
        <w:jc w:val="both"/>
        <w:rPr>
          <w:rFonts w:ascii="Times New Roman" w:cs="Times New Roman" w:hAnsi="Times New Roman"/>
          <w:sz w:val="24"/>
        </w:rPr>
      </w:pPr>
      <w:r>
        <w:rPr>
          <w:rFonts w:ascii="Times New Roman" w:cs="Times New Roman" w:hAnsi="Times New Roman"/>
          <w:sz w:val="24"/>
        </w:rPr>
        <w:t>Tax audit and knowledge of fines and offenses were found to be important determinants of taxpayer compliance. Since fines and audit rates are multiplicative, they can be substituted for one another as long as neither is zero (Kirchler et al 2007). Raising the fines just increases the risk of tax evasion for taxpayers and should discourage it. The deterring effect of fines was not always supported empirically. According to Kirchler et al. (2007), some research even imply that increasing fines may have unfavorable impacts and boost tax evasion, as the observed effects were less than anticipated.</w:t>
      </w:r>
    </w:p>
    <w:p>
      <w:pPr>
        <w:pStyle w:val="style0"/>
        <w:spacing w:lineRule="auto" w:line="360"/>
        <w:jc w:val="both"/>
        <w:rPr>
          <w:rFonts w:ascii="Times New Roman" w:cs="Times New Roman" w:hAnsi="Times New Roman"/>
          <w:sz w:val="24"/>
        </w:rPr>
      </w:pPr>
      <w:r>
        <w:rPr>
          <w:rFonts w:ascii="Times New Roman" w:cs="Times New Roman" w:hAnsi="Times New Roman"/>
          <w:sz w:val="24"/>
        </w:rPr>
        <w:t>The majority of taxpayers are eager to know how their tax money will be used since they were raised by the transparency of government spending. Additionally, the investigation finds evidence of a positive correlation between tax rule compliance and satisfaction with public service provision. Tax evaders frequently use the argument that the government wastes tax money and spends it carelessly to excuse their actions; over time, these claims may reduce voluntary compliance (Braithwaite et al. 2009).</w:t>
      </w:r>
    </w:p>
    <w:p>
      <w:pPr>
        <w:pStyle w:val="style0"/>
        <w:spacing w:lineRule="auto" w:line="360"/>
        <w:jc w:val="both"/>
        <w:rPr>
          <w:rFonts w:ascii="Times New Roman" w:cs="Times New Roman" w:hAnsi="Times New Roman"/>
          <w:sz w:val="24"/>
        </w:rPr>
      </w:pPr>
      <w:r>
        <w:rPr>
          <w:rFonts w:ascii="Times New Roman" w:cs="Times New Roman" w:hAnsi="Times New Roman"/>
          <w:sz w:val="24"/>
        </w:rPr>
        <w:t>The majority of respondents acknowledged that their experiences with noncompliance acts, whether from ordered robit analysis or descriptive analysis, have an impact on them. Both Allingham and Sandmo (1972) and Clotfelter (1983) asserted that referent groups are important in avoidance, albeit it was unclear which were more powerful friends or family.</w:t>
      </w:r>
    </w:p>
    <w:p>
      <w:pPr>
        <w:pStyle w:val="style0"/>
        <w:spacing w:lineRule="auto" w:line="360"/>
        <w:jc w:val="both"/>
        <w:rPr>
          <w:rFonts w:ascii="Times New Roman" w:cs="Times New Roman" w:hAnsi="Times New Roman"/>
          <w:sz w:val="24"/>
        </w:rPr>
      </w:pPr>
      <w:r>
        <w:rPr>
          <w:rFonts w:ascii="Times New Roman" w:cs="Times New Roman" w:hAnsi="Times New Roman"/>
          <w:sz w:val="24"/>
        </w:rPr>
        <w:t xml:space="preserve">It is reasonable to conclude that education level affects compliance. The descriptive analysis's outcome verified that the proportion of compliant taxpayers rises with education level. This is </w:t>
      </w:r>
      <w:r>
        <w:rPr>
          <w:rFonts w:ascii="Times New Roman" w:cs="Times New Roman" w:hAnsi="Times New Roman"/>
          <w:sz w:val="24"/>
        </w:rPr>
        <w:t>due to the fact that educated taxpayers may be aware of opportunities for noncompliance, but they also tend to have a more positive attitude toward the tax system and a higher level of moral development, which both contribute to greater compliance. According to Chan et al. (2000), there is a direct correlation between higher education and the likelihood of compliance.</w:t>
      </w:r>
    </w:p>
    <w:bookmarkStart w:id="173" w:name="_Toc203285125"/>
    <w:bookmarkStart w:id="174" w:name="_Toc204249802"/>
    <w:p>
      <w:pPr>
        <w:pStyle w:val="style3"/>
        <w:rPr>
          <w:rFonts w:ascii="Times New Roman" w:cs="Times New Roman" w:hAnsi="Times New Roman"/>
          <w:color w:val="auto"/>
          <w:sz w:val="24"/>
        </w:rPr>
      </w:pPr>
      <w:r>
        <w:rPr>
          <w:rFonts w:ascii="Times New Roman" w:cs="Times New Roman" w:hAnsi="Times New Roman"/>
          <w:color w:val="auto"/>
          <w:sz w:val="24"/>
        </w:rPr>
        <w:t>5.2. Recommendations</w:t>
      </w:r>
      <w:bookmarkEnd w:id="173"/>
      <w:bookmarkEnd w:id="174"/>
    </w:p>
    <w:p>
      <w:pPr>
        <w:pStyle w:val="style0"/>
        <w:spacing w:lineRule="auto" w:line="360"/>
        <w:jc w:val="both"/>
        <w:rPr>
          <w:rFonts w:ascii="Times New Roman" w:cs="Times New Roman" w:hAnsi="Times New Roman"/>
          <w:sz w:val="24"/>
        </w:rPr>
      </w:pPr>
      <w:r>
        <w:rPr>
          <w:rFonts w:ascii="Times New Roman" w:cs="Times New Roman" w:hAnsi="Times New Roman"/>
          <w:sz w:val="24"/>
        </w:rPr>
        <w:t>Based on the findings of this study, the researcher came up with the  following recommendations to enhance tax compliance of category “A” taxpayers’ of Burayu sub-city found in Sheger Oromia.</w:t>
      </w:r>
    </w:p>
    <w:p>
      <w:pPr>
        <w:pStyle w:val="style0"/>
        <w:spacing w:lineRule="auto" w:line="360"/>
        <w:jc w:val="both"/>
        <w:rPr>
          <w:rFonts w:ascii="Times New Roman" w:cs="Times New Roman" w:hAnsi="Times New Roman"/>
          <w:bCs/>
          <w:sz w:val="24"/>
        </w:rPr>
      </w:pPr>
      <w:r>
        <w:rPr>
          <w:rFonts w:ascii="Times New Roman" w:cs="Times New Roman" w:hAnsi="Times New Roman"/>
          <w:bCs/>
          <w:sz w:val="24"/>
        </w:rPr>
        <w:t xml:space="preserve">With regard to economic -related determinants, category “A” taxpayers will be tempted to avoid taxes if they believe that the likelihood of audit discovery is low. The study noted that if the administration prudently provides national incomes for basic abilities such as education, health and safety and public transport services, it is likely that willing agreements will increase. On the other hand, if taxpayers see that the government is excessively giving entities intentionally unnecessary or undesirable to the ruling class; taxpayers will feel exposed and attempt to flee. Afterwards, management commissioners and procedural officials should consider the attention paid to detail of the audit practice and the fairness of the government's payments to avoid incompetence in imposing taxes. The influence of the referral group on social factors is crucial, as a lot of literature explains; decisions to evade or not to evade tax are sometimes influenced by social norms and ethical values and will create different incentives for tax compliance. </w:t>
      </w:r>
    </w:p>
    <w:p>
      <w:pPr>
        <w:pStyle w:val="style0"/>
        <w:spacing w:lineRule="auto" w:line="360"/>
        <w:jc w:val="both"/>
        <w:rPr>
          <w:rFonts w:ascii="Times New Roman" w:cs="Times New Roman" w:hAnsi="Times New Roman"/>
          <w:sz w:val="24"/>
        </w:rPr>
      </w:pPr>
      <w:r>
        <w:rPr>
          <w:rFonts w:ascii="Times New Roman" w:cs="Times New Roman" w:hAnsi="Times New Roman"/>
          <w:sz w:val="24"/>
        </w:rPr>
        <w:t xml:space="preserve">Compliance behavior of category "A" tax payers is determined by individual factors as well as individual factors. Personal circumstantial factors, such as personal financial constraints, awareness of penalties and offences, and tax knowledge, are likely to have a significant impact on taxpayer compliance behavior. Policies makers have to regulate the economy to enable tax payers fulfill their obligation since personal financial constraint was identified as the most significant determinant of compliance. The ERCA needs to be kept informed of taxpayers’ level of knowledge in order to communicate current changes in tax laws and design tax policies. </w:t>
      </w:r>
    </w:p>
    <w:p>
      <w:pPr>
        <w:pStyle w:val="style0"/>
        <w:spacing w:lineRule="auto" w:line="360"/>
        <w:jc w:val="both"/>
        <w:rPr>
          <w:rFonts w:ascii="Times New Roman" w:cs="Times New Roman" w:hAnsi="Times New Roman"/>
          <w:sz w:val="24"/>
        </w:rPr>
      </w:pPr>
      <w:r>
        <w:rPr>
          <w:rFonts w:ascii="Times New Roman" w:cs="Times New Roman" w:hAnsi="Times New Roman"/>
          <w:sz w:val="24"/>
        </w:rPr>
        <w:t xml:space="preserve">The thesis suggests a series of measures that could be taken by the government in general and tax authorities in particular; improving thoroughness of audit, educating the taxpayers, conducting awareness creation, and providing all necessary social services to the public will enhance </w:t>
      </w:r>
      <w:r>
        <w:rPr>
          <w:rFonts w:ascii="Times New Roman" w:cs="Times New Roman" w:hAnsi="Times New Roman"/>
          <w:sz w:val="24"/>
        </w:rPr>
        <w:t>compliance level. Giving tax education to people isn't the only way to make them aware; it should also involve having consultative sessions. Increasing public education and understanding of fiscal obligations at schools is needed. The factors that make people to comply will be explored by further research and investigations on this topic.</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Enhance Tax Education</w:t>
      </w:r>
      <w:r>
        <w:rPr>
          <w:rFonts w:ascii="Times New Roman" w:cs="Times New Roman" w:eastAsia="Times New Roman" w:hAnsi="Times New Roman"/>
          <w:sz w:val="24"/>
          <w:szCs w:val="24"/>
        </w:rPr>
        <w:t>: Implement educational programs aimed at improving taxpayers' understanding of tax laws and compliance requirements. Workshops and seminars could help demystify tax obligations and empower taxpayers with knowledge.</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Strengthen Tax Audits</w:t>
      </w:r>
      <w:r>
        <w:rPr>
          <w:rFonts w:ascii="Times New Roman" w:cs="Times New Roman" w:eastAsia="Times New Roman" w:hAnsi="Times New Roman"/>
          <w:sz w:val="24"/>
          <w:szCs w:val="24"/>
        </w:rPr>
        <w:t>: Increase the likelihood and visibility of tax audits to deter non-compliance. By enhancing audit mechanisms, taxpayers may perceive a higher risk of detection, which could encourage compliance.</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Improve Government Spending Transparency</w:t>
      </w:r>
      <w:r>
        <w:rPr>
          <w:rFonts w:ascii="Times New Roman" w:cs="Times New Roman" w:eastAsia="Times New Roman" w:hAnsi="Times New Roman"/>
          <w:sz w:val="24"/>
          <w:szCs w:val="24"/>
        </w:rPr>
        <w:t>: Ensure that taxpayers are aware of how their contributions are utilized. Transparent reporting on government spending can enhance trust and reassure taxpayers that their payments are being used effectively.</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Support Financially Strained Taxpayers</w:t>
      </w:r>
      <w:r>
        <w:rPr>
          <w:rFonts w:ascii="Times New Roman" w:cs="Times New Roman" w:eastAsia="Times New Roman" w:hAnsi="Times New Roman"/>
          <w:sz w:val="24"/>
          <w:szCs w:val="24"/>
        </w:rPr>
        <w:t>: Consider implementing flexible payment options or tax relief programs for individuals facing financial difficulties. This could alleviate the burden on low-income taxpayers and improve compliance rates.</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Leverage Social Influences</w:t>
      </w:r>
      <w:r>
        <w:rPr>
          <w:rFonts w:ascii="Times New Roman" w:cs="Times New Roman" w:eastAsia="Times New Roman" w:hAnsi="Times New Roman"/>
          <w:sz w:val="24"/>
          <w:szCs w:val="24"/>
        </w:rPr>
        <w:t>: Encourage compliance through community engagement and peer influence. Initiatives that promote positive tax behavior within social groups can help foster a culture of compliance.</w:t>
      </w:r>
    </w:p>
    <w:p>
      <w:pPr>
        <w:pStyle w:val="style0"/>
        <w:spacing w:before="100" w:beforeAutospacing="true" w:after="100" w:afterAutospacing="true" w:lineRule="auto" w:line="360"/>
        <w:jc w:val="both"/>
        <w:rPr>
          <w:rFonts w:ascii="Times New Roman" w:cs="Times New Roman" w:eastAsia="Times New Roman" w:hAnsi="Times New Roman"/>
          <w:sz w:val="24"/>
          <w:szCs w:val="24"/>
        </w:rPr>
      </w:pPr>
      <w:r>
        <w:rPr>
          <w:rFonts w:ascii="Times New Roman" w:cs="Times New Roman" w:eastAsia="Times New Roman" w:hAnsi="Times New Roman"/>
          <w:b/>
          <w:bCs/>
          <w:sz w:val="24"/>
          <w:szCs w:val="24"/>
        </w:rPr>
        <w:t>Communicate Penalties Clearly</w:t>
      </w:r>
      <w:r>
        <w:rPr>
          <w:rFonts w:ascii="Times New Roman" w:cs="Times New Roman" w:eastAsia="Times New Roman" w:hAnsi="Times New Roman"/>
          <w:sz w:val="24"/>
          <w:szCs w:val="24"/>
        </w:rPr>
        <w:t>: Ensure that information regarding penalties for non-compliance is widely disseminated. Tax authorities should provide clear guidelines on the consequences of tax evasion to reinforce compliance.</w:t>
      </w:r>
    </w:p>
    <w:p>
      <w:pPr>
        <w:pStyle w:val="style0"/>
        <w:spacing w:lineRule="auto" w:line="360"/>
        <w:jc w:val="both"/>
        <w:rPr>
          <w:rFonts w:ascii="Times New Roman" w:cs="Times New Roman" w:hAnsi="Times New Roman"/>
          <w:sz w:val="24"/>
        </w:rPr>
      </w:pPr>
    </w:p>
    <w:p>
      <w:pPr>
        <w:pStyle w:val="style0"/>
        <w:spacing w:lineRule="auto" w:line="360"/>
        <w:jc w:val="both"/>
        <w:rPr>
          <w:rFonts w:ascii="Times New Roman" w:cs="Times New Roman" w:hAnsi="Times New Roman"/>
          <w:sz w:val="24"/>
        </w:rPr>
      </w:pPr>
    </w:p>
    <w:p>
      <w:pPr>
        <w:pStyle w:val="style0"/>
        <w:spacing w:lineRule="auto" w:line="360"/>
        <w:jc w:val="both"/>
        <w:rPr>
          <w:rFonts w:ascii="Times New Roman" w:cs="Times New Roman" w:hAnsi="Times New Roman"/>
          <w:sz w:val="24"/>
        </w:rPr>
      </w:pPr>
    </w:p>
    <w:bookmarkStart w:id="175" w:name="_Toc204249803"/>
    <w:p>
      <w:pPr>
        <w:pStyle w:val="style3"/>
        <w:rPr>
          <w:rFonts w:ascii="Times New Roman" w:cs="Times New Roman" w:hAnsi="Times New Roman"/>
          <w:color w:val="auto"/>
          <w:sz w:val="24"/>
        </w:rPr>
      </w:pPr>
      <w:r>
        <w:rPr>
          <w:rFonts w:ascii="Times New Roman" w:cs="Times New Roman" w:hAnsi="Times New Roman"/>
          <w:color w:val="auto"/>
          <w:sz w:val="24"/>
        </w:rPr>
        <w:t>REFERENCES</w:t>
      </w:r>
      <w:bookmarkEnd w:id="175"/>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Alm</w:t>
      </w:r>
      <w:r>
        <w:rPr>
          <w:rFonts w:ascii="Times New Roman" w:cs="Times New Roman" w:eastAsia="Calibri" w:hAnsi="Times New Roman"/>
          <w:iCs/>
          <w:sz w:val="24"/>
          <w:szCs w:val="24"/>
        </w:rPr>
        <w:t>,J</w:t>
      </w:r>
      <w:r>
        <w:rPr>
          <w:rFonts w:ascii="Times New Roman" w:cs="Times New Roman" w:eastAsia="Calibri" w:hAnsi="Times New Roman"/>
          <w:iCs/>
          <w:sz w:val="24"/>
          <w:szCs w:val="24"/>
        </w:rPr>
        <w:t xml:space="preserve">., Jackson,B., Mckee, M. (1992). </w:t>
      </w:r>
      <w:r>
        <w:rPr>
          <w:rFonts w:ascii="Times New Roman" w:cs="Times New Roman" w:eastAsia="Calibri" w:hAnsi="Times New Roman"/>
          <w:iCs/>
          <w:sz w:val="24"/>
          <w:szCs w:val="24"/>
        </w:rPr>
        <w:t>Deterrence and beyond towards a kinder, gentler Interrnal Revenue service (IRS).</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Andreoni, J., Erard, B., and Feinstein, J.S (1998).</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Tax compliance.</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Journal of economic Literature, 36(2).</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Auld.</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D.A and Miller F. (1984), Principles of public finance.</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Revised second edition, Methuen publication, Canada university of Guelph.</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Bahl, (1989) and Jenkins (1992).</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Taxpayers Compliance; a conceptual frame work, Journal of Economics Vol, 13 (5).</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Bergman, M. (1998).</w:t>
      </w:r>
      <w:r>
        <w:rPr>
          <w:rFonts w:ascii="Times New Roman" w:cs="Times New Roman" w:eastAsia="Calibri" w:hAnsi="Times New Roman"/>
          <w:iCs/>
          <w:sz w:val="24"/>
          <w:szCs w:val="24"/>
        </w:rPr>
        <w:t xml:space="preserve"> Criminal law and tax compliance in Argentina: testing the limit of deterrence. </w:t>
      </w:r>
      <w:r>
        <w:rPr>
          <w:rFonts w:ascii="Times New Roman" w:cs="Times New Roman" w:eastAsia="Calibri" w:hAnsi="Times New Roman"/>
          <w:iCs/>
          <w:sz w:val="24"/>
          <w:szCs w:val="24"/>
        </w:rPr>
        <w:t>International journal of journal of the sociology of law, Vol.26.</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 xml:space="preserve">Bhatia, H.L. (1976). </w:t>
      </w:r>
      <w:r>
        <w:rPr>
          <w:rFonts w:ascii="Times New Roman" w:cs="Times New Roman" w:eastAsia="Calibri" w:hAnsi="Times New Roman"/>
          <w:iCs/>
          <w:sz w:val="24"/>
          <w:szCs w:val="24"/>
        </w:rPr>
        <w:t>Public Finance, 19</w:t>
      </w:r>
      <w:r>
        <w:rPr>
          <w:rFonts w:ascii="Times New Roman" w:cs="Times New Roman" w:eastAsia="Calibri" w:hAnsi="Times New Roman"/>
          <w:iCs/>
          <w:sz w:val="24"/>
          <w:szCs w:val="24"/>
          <w:vertAlign w:val="superscript"/>
        </w:rPr>
        <w:t>th</w:t>
      </w:r>
      <w:r>
        <w:rPr>
          <w:rFonts w:ascii="Times New Roman" w:cs="Times New Roman" w:eastAsia="Calibri" w:hAnsi="Times New Roman"/>
          <w:iCs/>
          <w:sz w:val="24"/>
          <w:szCs w:val="24"/>
        </w:rPr>
        <w:t xml:space="preserve"> Ed.</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New Delhi, India; Vikas publishing House Pvt Ltd.</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Bird, R. M. and oldman.</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O. (1967).</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Readings on taxation in developing countries, revised edition.</w:t>
      </w:r>
      <w:r>
        <w:rPr>
          <w:rFonts w:ascii="Times New Roman" w:cs="Times New Roman" w:eastAsia="Calibri" w:hAnsi="Times New Roman"/>
          <w:iCs/>
          <w:sz w:val="24"/>
          <w:szCs w:val="24"/>
        </w:rPr>
        <w:t xml:space="preserve"> Baltimore, USA: the John Hopkins press.</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 xml:space="preserve">Blanthrorne C, Kaplan. </w:t>
      </w:r>
      <w:r>
        <w:rPr>
          <w:rFonts w:ascii="Times New Roman" w:cs="Times New Roman" w:eastAsia="Calibri" w:hAnsi="Times New Roman"/>
          <w:iCs/>
          <w:sz w:val="24"/>
          <w:szCs w:val="24"/>
        </w:rPr>
        <w:t>S.2008). An Egocentric model of the relations among the opportunity to underreport, social norms, ethical beliefs and underreporting behavior.</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 xml:space="preserve">Brooks, N. (2001). </w:t>
      </w:r>
      <w:r>
        <w:rPr>
          <w:rFonts w:ascii="Times New Roman" w:cs="Times New Roman" w:eastAsia="Calibri" w:hAnsi="Times New Roman"/>
          <w:iCs/>
          <w:sz w:val="24"/>
          <w:szCs w:val="24"/>
        </w:rPr>
        <w:t>Key issues in income tax; challenges of tax administration and compliance.</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Asian Development Bank tax conference.</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Brown &amp; Mazur (2003).</w:t>
      </w:r>
      <w:r>
        <w:rPr>
          <w:rFonts w:ascii="Times New Roman" w:cs="Times New Roman" w:eastAsia="Calibri" w:hAnsi="Times New Roman"/>
          <w:iCs/>
          <w:sz w:val="24"/>
          <w:szCs w:val="24"/>
        </w:rPr>
        <w:t xml:space="preserve"> Tax compliance And Public Opinion in Sweden: An Interpretation of Recent survey Data, National Tax Journal Vol 27(3)</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Coakes, S.J. (2005). SPSS version 12.0 for windows: Analysis without Anguish, CMO image printing press, Singapore</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Coakes, S. J. and Steed, L</w:t>
      </w:r>
      <w:r>
        <w:rPr>
          <w:rFonts w:ascii="Times New Roman" w:cs="Times New Roman" w:eastAsia="Calibri" w:hAnsi="Times New Roman"/>
          <w:iCs/>
          <w:sz w:val="24"/>
          <w:szCs w:val="24"/>
        </w:rPr>
        <w:t>.(</w:t>
      </w:r>
      <w:r>
        <w:rPr>
          <w:rFonts w:ascii="Times New Roman" w:cs="Times New Roman" w:eastAsia="Calibri" w:hAnsi="Times New Roman"/>
          <w:iCs/>
          <w:sz w:val="24"/>
          <w:szCs w:val="24"/>
        </w:rPr>
        <w:t>2007). SPSS version 14.0 for window: Analysis without Anguish</w:t>
      </w:r>
      <w:r>
        <w:rPr>
          <w:rFonts w:ascii="Times New Roman" w:cs="Times New Roman" w:eastAsia="Calibri" w:hAnsi="Times New Roman"/>
          <w:iCs/>
          <w:sz w:val="24"/>
          <w:szCs w:val="24"/>
        </w:rPr>
        <w:t>,John</w:t>
      </w:r>
      <w:r>
        <w:rPr>
          <w:rFonts w:ascii="Times New Roman" w:cs="Times New Roman" w:eastAsia="Calibri" w:hAnsi="Times New Roman"/>
          <w:iCs/>
          <w:sz w:val="24"/>
          <w:szCs w:val="24"/>
        </w:rPr>
        <w:t xml:space="preserve"> Whiley and Sons Australia, Australia.</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 xml:space="preserve">Cowell. </w:t>
      </w:r>
      <w:r>
        <w:rPr>
          <w:rFonts w:ascii="Times New Roman" w:cs="Times New Roman" w:eastAsia="Calibri" w:hAnsi="Times New Roman"/>
          <w:iCs/>
          <w:sz w:val="24"/>
          <w:szCs w:val="24"/>
        </w:rPr>
        <w:t>F.A. (1885).</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The economic analysis of tax evasion, Bulletin of economic research, Vol.37.</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 xml:space="preserve">Cowell. </w:t>
      </w:r>
      <w:r>
        <w:rPr>
          <w:rFonts w:ascii="Times New Roman" w:cs="Times New Roman" w:eastAsia="Calibri" w:hAnsi="Times New Roman"/>
          <w:iCs/>
          <w:sz w:val="24"/>
          <w:szCs w:val="24"/>
        </w:rPr>
        <w:t>F., and Gordon, J. (1988).</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Unwillingness to pay, Tax evasion and public goods provision.</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Journals of economics Vol.36.</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Dean, P., T. Keenan and F.Kenney (1980).</w:t>
      </w:r>
      <w:r>
        <w:rPr>
          <w:rFonts w:ascii="Times New Roman" w:cs="Times New Roman" w:eastAsia="Calibri" w:hAnsi="Times New Roman"/>
          <w:iCs/>
          <w:sz w:val="24"/>
          <w:szCs w:val="24"/>
        </w:rPr>
        <w:t xml:space="preserve"> Taxpayers’ attitudes to income tax evasion: an empirical study. In 28 British tax review</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Due, J.F. and Friedlaeder, A.F</w:t>
      </w:r>
      <w:r>
        <w:rPr>
          <w:rFonts w:ascii="Times New Roman" w:cs="Times New Roman" w:eastAsia="Calibri" w:hAnsi="Times New Roman"/>
          <w:iCs/>
          <w:sz w:val="24"/>
          <w:szCs w:val="24"/>
        </w:rPr>
        <w:t>.(</w:t>
      </w:r>
      <w:r>
        <w:rPr>
          <w:rFonts w:ascii="Times New Roman" w:cs="Times New Roman" w:eastAsia="Calibri" w:hAnsi="Times New Roman"/>
          <w:iCs/>
          <w:sz w:val="24"/>
          <w:szCs w:val="24"/>
        </w:rPr>
        <w:t>1981). Government Finance: Economics of the public sector 7</w:t>
      </w:r>
      <w:r>
        <w:rPr>
          <w:rFonts w:ascii="Times New Roman" w:cs="Times New Roman" w:eastAsia="Calibri" w:hAnsi="Times New Roman"/>
          <w:iCs/>
          <w:sz w:val="24"/>
          <w:szCs w:val="24"/>
          <w:vertAlign w:val="superscript"/>
        </w:rPr>
        <w:t>th</w:t>
      </w:r>
      <w:r>
        <w:rPr>
          <w:rFonts w:ascii="Times New Roman" w:cs="Times New Roman" w:eastAsia="Calibri" w:hAnsi="Times New Roman"/>
          <w:iCs/>
          <w:sz w:val="24"/>
          <w:szCs w:val="24"/>
        </w:rPr>
        <w:t xml:space="preserve"> ed.Illinois, USA: Richard DIRWIN, INC.</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 xml:space="preserve">Eckstein, Otto. </w:t>
      </w:r>
      <w:r>
        <w:rPr>
          <w:rFonts w:ascii="Times New Roman" w:cs="Times New Roman" w:eastAsia="Calibri" w:hAnsi="Times New Roman"/>
          <w:iCs/>
          <w:sz w:val="24"/>
          <w:szCs w:val="24"/>
        </w:rPr>
        <w:t>(1979). Public Finance 4</w:t>
      </w:r>
      <w:r>
        <w:rPr>
          <w:rFonts w:ascii="Times New Roman" w:cs="Times New Roman" w:eastAsia="Calibri" w:hAnsi="Times New Roman"/>
          <w:iCs/>
          <w:sz w:val="24"/>
          <w:szCs w:val="24"/>
          <w:vertAlign w:val="superscript"/>
        </w:rPr>
        <w:t>th</w:t>
      </w:r>
      <w:r>
        <w:rPr>
          <w:rFonts w:ascii="Times New Roman" w:cs="Times New Roman" w:eastAsia="Calibri" w:hAnsi="Times New Roman"/>
          <w:iCs/>
          <w:sz w:val="24"/>
          <w:szCs w:val="24"/>
        </w:rPr>
        <w:t xml:space="preserve"> edition.</w:t>
      </w:r>
      <w:r>
        <w:rPr>
          <w:rFonts w:ascii="Times New Roman" w:cs="Times New Roman" w:eastAsia="Calibri" w:hAnsi="Times New Roman"/>
          <w:iCs/>
          <w:sz w:val="24"/>
          <w:szCs w:val="24"/>
        </w:rPr>
        <w:t xml:space="preserve"> Englewood Cliffs, USA: Prentise-Hall</w:t>
      </w:r>
      <w:r>
        <w:rPr>
          <w:rFonts w:ascii="Times New Roman" w:cs="Times New Roman" w:eastAsia="Calibri" w:hAnsi="Times New Roman"/>
          <w:iCs/>
          <w:sz w:val="24"/>
          <w:szCs w:val="24"/>
        </w:rPr>
        <w:t>,INC</w:t>
      </w:r>
      <w:r>
        <w:rPr>
          <w:rFonts w:ascii="Times New Roman" w:cs="Times New Roman" w:eastAsia="Calibri" w:hAnsi="Times New Roman"/>
          <w:iCs/>
          <w:sz w:val="24"/>
          <w:szCs w:val="24"/>
        </w:rPr>
        <w:t>.</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Edlund</w:t>
      </w:r>
      <w:r>
        <w:rPr>
          <w:rFonts w:ascii="Times New Roman" w:cs="Times New Roman" w:eastAsia="Calibri" w:hAnsi="Times New Roman"/>
          <w:iCs/>
          <w:sz w:val="24"/>
          <w:szCs w:val="24"/>
        </w:rPr>
        <w:t>,J</w:t>
      </w:r>
      <w:r>
        <w:rPr>
          <w:rFonts w:ascii="Times New Roman" w:cs="Times New Roman" w:eastAsia="Calibri" w:hAnsi="Times New Roman"/>
          <w:iCs/>
          <w:sz w:val="24"/>
          <w:szCs w:val="24"/>
        </w:rPr>
        <w:t xml:space="preserve">. (2003). Attitude towards taxation: Ignorant and incoherent? ScandinavianPolitical studies, Vol. 26(2). </w:t>
      </w:r>
      <w:r>
        <w:rPr>
          <w:rFonts w:ascii="Times New Roman" w:cs="Times New Roman" w:eastAsia="Calibri" w:hAnsi="Times New Roman"/>
          <w:iCs/>
          <w:sz w:val="24"/>
          <w:szCs w:val="24"/>
        </w:rPr>
        <w:t>Nordic Political science Association.</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 xml:space="preserve">Ekstrand, L. (1980). Factors affecting compliance: Focus group and survey results. </w:t>
      </w:r>
      <w:r>
        <w:rPr>
          <w:rFonts w:ascii="Times New Roman" w:cs="Times New Roman" w:eastAsia="Calibri" w:hAnsi="Times New Roman"/>
          <w:iCs/>
          <w:sz w:val="24"/>
          <w:szCs w:val="24"/>
        </w:rPr>
        <w:t>Proceedings of the 73</w:t>
      </w:r>
      <w:r>
        <w:rPr>
          <w:rFonts w:ascii="Times New Roman" w:cs="Times New Roman" w:eastAsia="Calibri" w:hAnsi="Times New Roman"/>
          <w:iCs/>
          <w:sz w:val="24"/>
          <w:szCs w:val="24"/>
          <w:vertAlign w:val="superscript"/>
        </w:rPr>
        <w:t>rd</w:t>
      </w:r>
      <w:r>
        <w:rPr>
          <w:rFonts w:ascii="Times New Roman" w:cs="Times New Roman" w:eastAsia="Calibri" w:hAnsi="Times New Roman"/>
          <w:iCs/>
          <w:sz w:val="24"/>
          <w:szCs w:val="24"/>
        </w:rPr>
        <w:t xml:space="preserve"> annual conference on taxation.</w:t>
      </w:r>
      <w:r>
        <w:rPr>
          <w:rFonts w:ascii="Times New Roman" w:cs="Times New Roman" w:eastAsia="Calibri" w:hAnsi="Times New Roman"/>
          <w:iCs/>
          <w:sz w:val="24"/>
          <w:szCs w:val="24"/>
        </w:rPr>
        <w:t xml:space="preserve"> National tax association-tax institute of America (November)</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Fisher, C. M., Wartick, M., and Mark, M.M. (1992).</w:t>
      </w:r>
      <w:r>
        <w:rPr>
          <w:rFonts w:ascii="Times New Roman" w:cs="Times New Roman" w:eastAsia="Calibri" w:hAnsi="Times New Roman"/>
          <w:iCs/>
          <w:sz w:val="24"/>
          <w:szCs w:val="24"/>
        </w:rPr>
        <w:t xml:space="preserve"> Detection probability and taxpayer compliance: a review of the literature. </w:t>
      </w:r>
      <w:r>
        <w:rPr>
          <w:rFonts w:ascii="Times New Roman" w:cs="Times New Roman" w:eastAsia="Calibri" w:hAnsi="Times New Roman"/>
          <w:iCs/>
          <w:sz w:val="24"/>
          <w:szCs w:val="24"/>
        </w:rPr>
        <w:t>Journal of Accounting Literature, 11(1).</w:t>
      </w:r>
      <w:r>
        <w:rPr>
          <w:rFonts w:ascii="Times New Roman" w:cs="Times New Roman" w:eastAsia="Calibri" w:hAnsi="Times New Roman"/>
          <w:iCs/>
          <w:sz w:val="24"/>
          <w:szCs w:val="24"/>
        </w:rPr>
        <w:t xml:space="preserve">  </w:t>
      </w:r>
    </w:p>
    <w:p>
      <w:pPr>
        <w:pStyle w:val="style0"/>
        <w:autoSpaceDE w:val="false"/>
        <w:autoSpaceDN w:val="false"/>
        <w:adjustRightInd w:val="false"/>
        <w:spacing w:after="0" w:lineRule="auto" w:line="360"/>
        <w:jc w:val="both"/>
        <w:rPr>
          <w:rFonts w:ascii="Times New Roman" w:cs="Times New Roman" w:eastAsia="SimSun" w:hAnsi="Times New Roman"/>
          <w:sz w:val="24"/>
          <w:szCs w:val="24"/>
        </w:rPr>
      </w:pPr>
      <w:r>
        <w:rPr>
          <w:rFonts w:ascii="Times New Roman" w:cs="Times New Roman" w:eastAsia="Calibri" w:hAnsi="Times New Roman"/>
          <w:iCs/>
          <w:sz w:val="24"/>
          <w:szCs w:val="24"/>
        </w:rPr>
        <w:t>Fjeldstad, O. and ranker, L</w:t>
      </w:r>
      <w:r>
        <w:rPr>
          <w:rFonts w:ascii="Times New Roman" w:cs="Times New Roman" w:eastAsia="Calibri" w:hAnsi="Times New Roman"/>
          <w:iCs/>
          <w:sz w:val="24"/>
          <w:szCs w:val="24"/>
        </w:rPr>
        <w:t>.(</w:t>
      </w:r>
      <w:r>
        <w:rPr>
          <w:rFonts w:ascii="Times New Roman" w:cs="Times New Roman" w:eastAsia="Calibri" w:hAnsi="Times New Roman"/>
          <w:iCs/>
          <w:sz w:val="24"/>
          <w:szCs w:val="24"/>
        </w:rPr>
        <w:t>2003). Taxation and tax reforms in developing countries: Illustration from sub Saharan Africa. Bergen, Norway: Chr. Michelsen Institute.</w:t>
      </w:r>
    </w:p>
    <w:p>
      <w:pPr>
        <w:pStyle w:val="style0"/>
        <w:autoSpaceDE w:val="false"/>
        <w:autoSpaceDN w:val="false"/>
        <w:adjustRightInd w:val="false"/>
        <w:spacing w:after="0" w:lineRule="auto" w:line="360"/>
        <w:jc w:val="both"/>
        <w:rPr>
          <w:rFonts w:ascii="Times New Roman" w:cs="Times New Roman" w:eastAsia="SimSun" w:hAnsi="Times New Roman"/>
          <w:sz w:val="24"/>
          <w:szCs w:val="24"/>
        </w:rPr>
      </w:pPr>
    </w:p>
    <w:p>
      <w:pPr>
        <w:pStyle w:val="style0"/>
        <w:autoSpaceDE w:val="false"/>
        <w:autoSpaceDN w:val="false"/>
        <w:adjustRightInd w:val="false"/>
        <w:spacing w:after="0" w:lineRule="auto" w:line="360"/>
        <w:jc w:val="both"/>
        <w:rPr>
          <w:rFonts w:ascii="Times New Roman" w:cs="Times New Roman" w:eastAsia="SimSun" w:hAnsi="Times New Roman"/>
          <w:sz w:val="24"/>
          <w:szCs w:val="24"/>
        </w:rPr>
      </w:pPr>
      <w:r>
        <w:rPr>
          <w:rFonts w:ascii="Times New Roman" w:cs="Times New Roman" w:eastAsia="SimSun" w:hAnsi="Times New Roman"/>
          <w:sz w:val="24"/>
          <w:szCs w:val="24"/>
        </w:rPr>
        <w:t>Grasmick, H., and Green, D.E (1980).</w:t>
      </w:r>
      <w:r>
        <w:rPr>
          <w:rFonts w:ascii="Times New Roman" w:cs="Times New Roman" w:eastAsia="SimSun" w:hAnsi="Times New Roman"/>
          <w:sz w:val="24"/>
          <w:szCs w:val="24"/>
        </w:rPr>
        <w:t xml:space="preserve"> Legal punishment, social disapproval and internalization</w:t>
      </w:r>
    </w:p>
    <w:p>
      <w:pPr>
        <w:pStyle w:val="style0"/>
        <w:autoSpaceDE w:val="false"/>
        <w:autoSpaceDN w:val="false"/>
        <w:adjustRightInd w:val="false"/>
        <w:spacing w:after="0" w:lineRule="auto" w:line="360"/>
        <w:jc w:val="both"/>
        <w:rPr>
          <w:rFonts w:ascii="Times New Roman" w:cs="Times New Roman" w:eastAsia="SimSun" w:hAnsi="Times New Roman"/>
          <w:sz w:val="24"/>
          <w:szCs w:val="24"/>
        </w:rPr>
      </w:pPr>
      <w:r>
        <w:rPr>
          <w:rFonts w:ascii="Times New Roman" w:cs="Times New Roman" w:eastAsia="SimSun" w:hAnsi="Times New Roman"/>
          <w:sz w:val="24"/>
          <w:szCs w:val="24"/>
        </w:rPr>
        <w:t>As inhibitors of illegal behavior.</w:t>
      </w:r>
    </w:p>
    <w:p>
      <w:pPr>
        <w:pStyle w:val="style0"/>
        <w:autoSpaceDE w:val="false"/>
        <w:autoSpaceDN w:val="false"/>
        <w:adjustRightInd w:val="false"/>
        <w:spacing w:after="0" w:lineRule="auto" w:line="360"/>
        <w:jc w:val="both"/>
        <w:rPr>
          <w:rFonts w:ascii="Times New Roman" w:cs="Times New Roman" w:eastAsia="SimSun" w:hAnsi="Times New Roman"/>
          <w:sz w:val="24"/>
          <w:szCs w:val="24"/>
        </w:rPr>
      </w:pP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Grasmick, H., and Scott.W.J.</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(1982). Tax evasion and mechanisms of social control.</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 xml:space="preserve">Hamm, J.L. (1995). Income level and tax rate as determinants of tax payers’ compliance: an expremental examination. </w:t>
      </w:r>
      <w:r>
        <w:rPr>
          <w:rFonts w:ascii="Times New Roman" w:cs="Times New Roman" w:eastAsia="Calibri" w:hAnsi="Times New Roman"/>
          <w:iCs/>
          <w:sz w:val="24"/>
          <w:szCs w:val="24"/>
        </w:rPr>
        <w:t>Doctorial dissertation, Texas Tech University.</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Hinton et al. (2004).</w:t>
      </w:r>
      <w:r>
        <w:rPr>
          <w:rFonts w:ascii="Times New Roman" w:cs="Times New Roman" w:eastAsia="Calibri" w:hAnsi="Times New Roman"/>
          <w:iCs/>
          <w:sz w:val="24"/>
          <w:szCs w:val="24"/>
        </w:rPr>
        <w:t xml:space="preserve"> SPSS explained Roulledge Inc., New </w:t>
      </w:r>
      <w:r>
        <w:rPr>
          <w:rFonts w:ascii="Times New Roman" w:cs="Times New Roman" w:eastAsia="Calibri" w:hAnsi="Times New Roman"/>
          <w:iCs/>
          <w:sz w:val="24"/>
          <w:szCs w:val="24"/>
        </w:rPr>
        <w:t>york</w:t>
      </w:r>
      <w:r>
        <w:rPr>
          <w:rFonts w:ascii="Times New Roman" w:cs="Times New Roman" w:eastAsia="Calibri" w:hAnsi="Times New Roman"/>
          <w:iCs/>
          <w:sz w:val="24"/>
          <w:szCs w:val="24"/>
        </w:rPr>
        <w:t>, NY.</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Calibri" w:hAnsi="Times New Roman"/>
          <w:iCs/>
          <w:sz w:val="24"/>
          <w:szCs w:val="24"/>
        </w:rPr>
        <w:t>Hofstede G.H. (1980). Culture’s consquences: International differences in work-related values.European Economic review, 48(4).</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SimSun" w:hAnsi="Times New Roman"/>
          <w:sz w:val="24"/>
          <w:szCs w:val="24"/>
        </w:rPr>
        <w:t xml:space="preserve">Horowitz. </w:t>
      </w:r>
      <w:r>
        <w:rPr>
          <w:rFonts w:ascii="Times New Roman" w:cs="Times New Roman" w:eastAsia="SimSun" w:hAnsi="Times New Roman"/>
          <w:sz w:val="24"/>
          <w:szCs w:val="24"/>
        </w:rPr>
        <w:t>I., and Horowitz, A.R. (2000).</w:t>
      </w:r>
      <w:r>
        <w:rPr>
          <w:rFonts w:ascii="Times New Roman" w:cs="Times New Roman" w:eastAsia="SimSun" w:hAnsi="Times New Roman"/>
          <w:sz w:val="24"/>
          <w:szCs w:val="24"/>
        </w:rPr>
        <w:t xml:space="preserve"> </w:t>
      </w:r>
      <w:r>
        <w:rPr>
          <w:rFonts w:ascii="Times New Roman" w:cs="Times New Roman" w:eastAsia="SimSun" w:hAnsi="Times New Roman"/>
          <w:sz w:val="24"/>
          <w:szCs w:val="24"/>
        </w:rPr>
        <w:t>Tax audit uncertainty and the work-vesus-leisure</w:t>
      </w:r>
      <w:r>
        <w:rPr>
          <w:rFonts w:ascii="Times New Roman" w:cs="Times New Roman" w:eastAsia="NSimSun" w:hAnsi="Times New Roman"/>
          <w:iCs/>
          <w:kern w:val="3"/>
          <w:sz w:val="24"/>
          <w:szCs w:val="24"/>
          <w:lang w:bidi="hi-IN" w:eastAsia="zh-CN"/>
        </w:rPr>
        <w:t xml:space="preserve"> </w:t>
      </w:r>
      <w:r>
        <w:rPr>
          <w:rFonts w:ascii="Times New Roman" w:cs="Times New Roman" w:eastAsia="SimSun" w:hAnsi="Times New Roman"/>
          <w:sz w:val="24"/>
          <w:szCs w:val="24"/>
        </w:rPr>
        <w:t>Decision.</w:t>
      </w:r>
      <w:r>
        <w:rPr>
          <w:rFonts w:ascii="Times New Roman" w:cs="Times New Roman" w:eastAsia="SimSun" w:hAnsi="Times New Roman"/>
          <w:sz w:val="24"/>
          <w:szCs w:val="24"/>
        </w:rPr>
        <w:t xml:space="preserve"> Public finance Review, </w:t>
      </w:r>
      <w:r>
        <w:rPr>
          <w:rFonts w:ascii="Times New Roman" w:cs="Times New Roman" w:eastAsia="SimSun" w:hAnsi="Times New Roman"/>
          <w:sz w:val="24"/>
          <w:szCs w:val="24"/>
        </w:rPr>
        <w:t>vol.28(</w:t>
      </w:r>
      <w:r>
        <w:rPr>
          <w:rFonts w:ascii="Times New Roman" w:cs="Times New Roman" w:eastAsia="SimSun" w:hAnsi="Times New Roman"/>
          <w:sz w:val="24"/>
          <w:szCs w:val="24"/>
        </w:rPr>
        <w:t>6).</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SimSun" w:hAnsi="Times New Roman"/>
          <w:sz w:val="24"/>
          <w:szCs w:val="24"/>
        </w:rPr>
        <w:t>Internal Revenue service.</w:t>
      </w:r>
      <w:r>
        <w:rPr>
          <w:rFonts w:ascii="Times New Roman" w:cs="Times New Roman" w:eastAsia="SimSun" w:hAnsi="Times New Roman"/>
          <w:sz w:val="24"/>
          <w:szCs w:val="24"/>
        </w:rPr>
        <w:t xml:space="preserve"> (1996). Federal tax compliance research: individual income tax gap</w:t>
      </w:r>
      <w:r>
        <w:rPr>
          <w:rFonts w:ascii="Times New Roman" w:cs="Times New Roman" w:eastAsia="NSimSun" w:hAnsi="Times New Roman"/>
          <w:iCs/>
          <w:kern w:val="3"/>
          <w:sz w:val="24"/>
          <w:szCs w:val="24"/>
          <w:lang w:bidi="hi-IN" w:eastAsia="zh-CN"/>
        </w:rPr>
        <w:t xml:space="preserve"> </w:t>
      </w:r>
      <w:r>
        <w:rPr>
          <w:rFonts w:ascii="Times New Roman" w:cs="Times New Roman" w:eastAsia="SimSun" w:hAnsi="Times New Roman"/>
          <w:sz w:val="24"/>
          <w:szCs w:val="24"/>
        </w:rPr>
        <w:t>Estimates for 1985, 1988, and 1992.</w:t>
      </w:r>
    </w:p>
    <w:p>
      <w:pPr>
        <w:pStyle w:val="style0"/>
        <w:suppressAutoHyphens/>
        <w:autoSpaceDN w:val="false"/>
        <w:spacing w:after="194" w:lineRule="auto" w:line="360"/>
        <w:ind w:left="705" w:hanging="720"/>
        <w:jc w:val="both"/>
        <w:textAlignment w:val="baseline"/>
        <w:rPr>
          <w:rFonts w:ascii="Times New Roman" w:cs="Times New Roman" w:eastAsia="NSimSun" w:hAnsi="Times New Roman"/>
          <w:iCs/>
          <w:kern w:val="3"/>
          <w:sz w:val="24"/>
          <w:szCs w:val="24"/>
          <w:lang w:bidi="hi-IN" w:eastAsia="zh-CN"/>
        </w:rPr>
      </w:pPr>
      <w:r>
        <w:rPr>
          <w:rFonts w:ascii="Times New Roman" w:cs="Times New Roman" w:eastAsia="SimSun" w:hAnsi="Times New Roman"/>
          <w:sz w:val="24"/>
          <w:szCs w:val="24"/>
        </w:rPr>
        <w:t>Jackson, B. R. and Milliron, V.C. (1986).Tax compliance research: findings, problems, and</w:t>
      </w:r>
      <w:r>
        <w:rPr>
          <w:rFonts w:ascii="Times New Roman" w:cs="Times New Roman" w:eastAsia="NSimSun" w:hAnsi="Times New Roman"/>
          <w:iCs/>
          <w:kern w:val="3"/>
          <w:sz w:val="24"/>
          <w:szCs w:val="24"/>
          <w:lang w:bidi="hi-IN" w:eastAsia="zh-CN"/>
        </w:rPr>
        <w:t xml:space="preserve"> </w:t>
      </w:r>
      <w:r>
        <w:rPr>
          <w:rFonts w:ascii="Times New Roman" w:cs="Times New Roman" w:eastAsia="SimSun" w:hAnsi="Times New Roman"/>
          <w:sz w:val="24"/>
          <w:szCs w:val="24"/>
        </w:rPr>
        <w:t xml:space="preserve">Prospects. </w:t>
      </w:r>
      <w:r>
        <w:rPr>
          <w:rFonts w:ascii="Times New Roman" w:cs="Times New Roman" w:eastAsia="SimSun" w:hAnsi="Times New Roman"/>
          <w:sz w:val="24"/>
          <w:szCs w:val="24"/>
        </w:rPr>
        <w:t>Journal of Accouting Literature Vol.5 (2).</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 xml:space="preserve">Jackson, B., (1989). </w:t>
      </w:r>
      <w:r>
        <w:rPr>
          <w:rFonts w:ascii="Times New Roman" w:cs="Times New Roman" w:eastAsia="Calibri" w:hAnsi="Times New Roman"/>
          <w:iCs/>
          <w:sz w:val="24"/>
          <w:szCs w:val="24"/>
        </w:rPr>
        <w:t>Influencing taxpayer compliance through sanction threat or appeals to conscience.</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Advances in Taxation.</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Jackson, B.R., and Milliron, V.C</w:t>
      </w:r>
      <w:r>
        <w:rPr>
          <w:rFonts w:ascii="Times New Roman" w:cs="Times New Roman" w:eastAsia="Calibri" w:hAnsi="Times New Roman"/>
          <w:iCs/>
          <w:sz w:val="24"/>
          <w:szCs w:val="24"/>
        </w:rPr>
        <w:t>.(</w:t>
      </w:r>
      <w:r>
        <w:rPr>
          <w:rFonts w:ascii="Times New Roman" w:cs="Times New Roman" w:eastAsia="Calibri" w:hAnsi="Times New Roman"/>
          <w:iCs/>
          <w:sz w:val="24"/>
          <w:szCs w:val="24"/>
        </w:rPr>
        <w:t>1986). Tax compliance research: Findings, problems, and Prospects, Journal of Accounting Literature</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James, S. (1996). Self-assessment and UK tax system, paper presented at Conference on Current Issues in Tax Administration, Sydney</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James, S., &amp; Alley, C. (2002).</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Tax compliance, self-assessment system and tax administration.</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Journal of Finance, and Management in Public Services.</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James, S., and Nobes, C. (2000).</w:t>
      </w:r>
      <w:r>
        <w:rPr>
          <w:rFonts w:ascii="Times New Roman" w:cs="Times New Roman" w:eastAsia="Calibri" w:hAnsi="Times New Roman"/>
          <w:iCs/>
          <w:sz w:val="24"/>
          <w:szCs w:val="24"/>
        </w:rPr>
        <w:t xml:space="preserve"> The Economic of Taxation, 7</w:t>
      </w:r>
      <w:r>
        <w:rPr>
          <w:rFonts w:ascii="Times New Roman" w:cs="Times New Roman" w:eastAsia="Calibri" w:hAnsi="Times New Roman"/>
          <w:iCs/>
          <w:sz w:val="24"/>
          <w:szCs w:val="24"/>
          <w:vertAlign w:val="superscript"/>
        </w:rPr>
        <w:t>th</w:t>
      </w:r>
      <w:r>
        <w:rPr>
          <w:rFonts w:ascii="Times New Roman" w:cs="Times New Roman" w:eastAsia="Calibri" w:hAnsi="Times New Roman"/>
          <w:iCs/>
          <w:sz w:val="24"/>
          <w:szCs w:val="24"/>
        </w:rPr>
        <w:t xml:space="preserve"> ed. London: Prentice Hall.</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James, S., and wallschutzky, I (1995).</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Consirerations concerning the design of an appropriate system of tax rulings, revenue law joural, 175(3).</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James</w:t>
      </w:r>
      <w:r>
        <w:rPr>
          <w:rFonts w:ascii="Times New Roman" w:cs="Times New Roman" w:eastAsia="Calibri" w:hAnsi="Times New Roman"/>
          <w:iCs/>
          <w:sz w:val="24"/>
          <w:szCs w:val="24"/>
        </w:rPr>
        <w:t>,s</w:t>
      </w:r>
      <w:r>
        <w:rPr>
          <w:rFonts w:ascii="Times New Roman" w:cs="Times New Roman" w:eastAsia="Calibri" w:hAnsi="Times New Roman"/>
          <w:iCs/>
          <w:sz w:val="24"/>
          <w:szCs w:val="24"/>
        </w:rPr>
        <w:t xml:space="preserve">.,sawyer, A., and wallschutzky, I (1998). The complexities of tax simplification; progress in </w:t>
      </w:r>
      <w:r>
        <w:rPr>
          <w:rFonts w:ascii="Times New Roman" w:cs="Times New Roman" w:eastAsia="Calibri" w:hAnsi="Times New Roman"/>
          <w:iCs/>
          <w:sz w:val="24"/>
          <w:szCs w:val="24"/>
        </w:rPr>
        <w:t>australia</w:t>
      </w:r>
      <w:r>
        <w:rPr>
          <w:rFonts w:ascii="Times New Roman" w:cs="Times New Roman" w:eastAsia="Calibri" w:hAnsi="Times New Roman"/>
          <w:iCs/>
          <w:sz w:val="24"/>
          <w:szCs w:val="24"/>
        </w:rPr>
        <w:t xml:space="preserve">, new Zealand and the united kingdom. </w:t>
      </w:r>
      <w:r>
        <w:rPr>
          <w:rFonts w:ascii="Times New Roman" w:cs="Times New Roman" w:eastAsia="Calibri" w:hAnsi="Times New Roman"/>
          <w:iCs/>
          <w:sz w:val="24"/>
          <w:szCs w:val="24"/>
        </w:rPr>
        <w:t>Australian tax forum vol.14 (1).</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Kaplan SE, Reckers PMJ and Roark SJ, “An attribution theory analysis of tax evasion related judgments” (1988) 13(4) Accounting, Organizations and Society 372.</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Kasipillai, J., Norhani</w:t>
      </w:r>
      <w:r>
        <w:rPr>
          <w:rFonts w:ascii="Times New Roman" w:cs="Times New Roman" w:eastAsia="Calibri" w:hAnsi="Times New Roman"/>
          <w:iCs/>
          <w:sz w:val="24"/>
          <w:szCs w:val="24"/>
        </w:rPr>
        <w:t>,A</w:t>
      </w:r>
      <w:r>
        <w:rPr>
          <w:rFonts w:ascii="Times New Roman" w:cs="Times New Roman" w:eastAsia="Calibri" w:hAnsi="Times New Roman"/>
          <w:iCs/>
          <w:sz w:val="24"/>
          <w:szCs w:val="24"/>
        </w:rPr>
        <w:t>. and Noor Afza, A. (2003), 'The influence of education on tax avoidance and evasion'. E Journal of tax research, Vol.  1 No. 2</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 xml:space="preserve">Keller, C.E. (1997). An experimental investigation of how ethical orientations, taxrates, penality rates, and audit rates after tax compliance decisions. </w:t>
      </w:r>
      <w:r>
        <w:rPr>
          <w:rFonts w:ascii="Times New Roman" w:cs="Times New Roman" w:eastAsia="Calibri" w:hAnsi="Times New Roman"/>
          <w:iCs/>
          <w:sz w:val="24"/>
          <w:szCs w:val="24"/>
        </w:rPr>
        <w:t>Doctoral dissertation, the University of Tennessee.</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 xml:space="preserve">Kirchler E. (2007). </w:t>
      </w:r>
      <w:r>
        <w:rPr>
          <w:rFonts w:ascii="Times New Roman" w:cs="Times New Roman" w:eastAsia="Calibri" w:hAnsi="Times New Roman"/>
          <w:iCs/>
          <w:sz w:val="24"/>
          <w:szCs w:val="24"/>
        </w:rPr>
        <w:t>The economic psychology of tax behavior, Cambridge.</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Cambridge University Press.</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 xml:space="preserve">Kirchler, E. (2007). </w:t>
      </w:r>
      <w:r>
        <w:rPr>
          <w:rFonts w:ascii="Times New Roman" w:cs="Times New Roman" w:eastAsia="Calibri" w:hAnsi="Times New Roman"/>
          <w:iCs/>
          <w:sz w:val="24"/>
          <w:szCs w:val="24"/>
        </w:rPr>
        <w:t>Preconditions of voluntary tax compliance; knowledge and evaluation of taxation, norms, fairness, and motivation to cooperate.</w:t>
      </w:r>
      <w:r>
        <w:rPr>
          <w:rFonts w:ascii="Times New Roman" w:cs="Times New Roman" w:eastAsia="Calibri" w:hAnsi="Times New Roman"/>
          <w:iCs/>
          <w:sz w:val="24"/>
          <w:szCs w:val="24"/>
        </w:rPr>
        <w:t xml:space="preserve"> </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Kirchler, E., Holzl, E. and wahl, I. (2008).</w:t>
      </w:r>
      <w:r>
        <w:rPr>
          <w:rFonts w:ascii="Times New Roman" w:cs="Times New Roman" w:eastAsia="Calibri" w:hAnsi="Times New Roman"/>
          <w:iCs/>
          <w:sz w:val="24"/>
          <w:szCs w:val="24"/>
        </w:rPr>
        <w:t xml:space="preserve"> Enforced versus voluntary tax compliance; the slippery slope frame work. </w:t>
      </w:r>
      <w:r>
        <w:rPr>
          <w:rFonts w:ascii="Times New Roman" w:cs="Times New Roman" w:eastAsia="Calibri" w:hAnsi="Times New Roman"/>
          <w:iCs/>
          <w:sz w:val="24"/>
          <w:szCs w:val="24"/>
        </w:rPr>
        <w:t>Journal of economic psychology, 29(2).</w:t>
      </w:r>
      <w:r>
        <w:rPr>
          <w:rFonts w:ascii="Times New Roman" w:cs="Times New Roman" w:eastAsia="Calibri" w:hAnsi="Times New Roman"/>
          <w:iCs/>
          <w:sz w:val="24"/>
          <w:szCs w:val="24"/>
        </w:rPr>
        <w:t xml:space="preserve"> </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Laver, M. (1981) the politics of private desires.</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New York; penguin Books.</w:t>
      </w:r>
      <w:r>
        <w:rPr>
          <w:rFonts w:ascii="Times New Roman" w:cs="Times New Roman" w:eastAsia="Calibri" w:hAnsi="Times New Roman"/>
          <w:iCs/>
          <w:sz w:val="24"/>
          <w:szCs w:val="24"/>
        </w:rPr>
        <w:t xml:space="preserve"> </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Lemessa, B. (2005). Federal income tax administration in ethiopia</w:t>
      </w:r>
      <w:r>
        <w:rPr>
          <w:rFonts w:ascii="Times New Roman" w:cs="Times New Roman" w:eastAsia="Calibri" w:hAnsi="Times New Roman"/>
          <w:iCs/>
          <w:sz w:val="24"/>
          <w:szCs w:val="24"/>
        </w:rPr>
        <w:t>;the</w:t>
      </w:r>
      <w:r>
        <w:rPr>
          <w:rFonts w:ascii="Times New Roman" w:cs="Times New Roman" w:eastAsia="Calibri" w:hAnsi="Times New Roman"/>
          <w:iCs/>
          <w:sz w:val="24"/>
          <w:szCs w:val="24"/>
        </w:rPr>
        <w:t xml:space="preserve"> case of employment and business income taxes, msc. </w:t>
      </w:r>
      <w:r>
        <w:rPr>
          <w:rFonts w:ascii="Times New Roman" w:cs="Times New Roman" w:eastAsia="Calibri" w:hAnsi="Times New Roman"/>
          <w:iCs/>
          <w:sz w:val="24"/>
          <w:szCs w:val="24"/>
        </w:rPr>
        <w:t>Thesis AAU.</w:t>
      </w:r>
      <w:r>
        <w:rPr>
          <w:rFonts w:ascii="Times New Roman" w:cs="Times New Roman" w:eastAsia="Calibri" w:hAnsi="Times New Roman"/>
          <w:iCs/>
          <w:sz w:val="24"/>
          <w:szCs w:val="24"/>
        </w:rPr>
        <w:t xml:space="preserve"> </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Levi, M</w:t>
      </w:r>
      <w:r>
        <w:rPr>
          <w:rFonts w:ascii="Times New Roman" w:cs="Times New Roman" w:eastAsia="Calibri" w:hAnsi="Times New Roman"/>
          <w:iCs/>
          <w:sz w:val="24"/>
          <w:szCs w:val="24"/>
        </w:rPr>
        <w:t>.(</w:t>
      </w:r>
      <w:r>
        <w:rPr>
          <w:rFonts w:ascii="Times New Roman" w:cs="Times New Roman" w:eastAsia="Calibri" w:hAnsi="Times New Roman"/>
          <w:iCs/>
          <w:sz w:val="24"/>
          <w:szCs w:val="24"/>
        </w:rPr>
        <w:t xml:space="preserve">1988). Of rule and </w:t>
      </w:r>
      <w:r>
        <w:rPr>
          <w:rFonts w:ascii="Times New Roman" w:cs="Times New Roman" w:eastAsia="Calibri" w:hAnsi="Times New Roman"/>
          <w:iCs/>
          <w:sz w:val="24"/>
          <w:szCs w:val="24"/>
        </w:rPr>
        <w:t>revenue .</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los</w:t>
      </w:r>
      <w:r>
        <w:rPr>
          <w:rFonts w:ascii="Times New Roman" w:cs="Times New Roman" w:eastAsia="Calibri" w:hAnsi="Times New Roman"/>
          <w:iCs/>
          <w:sz w:val="24"/>
          <w:szCs w:val="24"/>
        </w:rPr>
        <w:t xml:space="preserve"> angles/ London, university of California press.</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 xml:space="preserve">Lewis, </w:t>
      </w:r>
      <w:r>
        <w:rPr>
          <w:rFonts w:ascii="Times New Roman" w:cs="Times New Roman" w:eastAsia="Calibri" w:hAnsi="Times New Roman"/>
          <w:iCs/>
          <w:sz w:val="24"/>
          <w:szCs w:val="24"/>
        </w:rPr>
        <w:t>A</w:t>
      </w:r>
      <w:r>
        <w:rPr>
          <w:rFonts w:ascii="Times New Roman" w:cs="Times New Roman" w:eastAsia="Calibri" w:hAnsi="Times New Roman"/>
          <w:iCs/>
          <w:sz w:val="24"/>
          <w:szCs w:val="24"/>
        </w:rPr>
        <w:t xml:space="preserve"> (1982). </w:t>
      </w:r>
      <w:r>
        <w:rPr>
          <w:rFonts w:ascii="Times New Roman" w:cs="Times New Roman" w:eastAsia="Calibri" w:hAnsi="Times New Roman"/>
          <w:iCs/>
          <w:sz w:val="24"/>
          <w:szCs w:val="24"/>
        </w:rPr>
        <w:t>The psychology of taxation.</w:t>
      </w:r>
      <w:r>
        <w:rPr>
          <w:rFonts w:ascii="Times New Roman" w:cs="Times New Roman" w:eastAsia="Calibri" w:hAnsi="Times New Roman"/>
          <w:iCs/>
          <w:sz w:val="24"/>
          <w:szCs w:val="24"/>
        </w:rPr>
        <w:t xml:space="preserve"> New York; st. Martin’s press</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Loo, E.C. (2006).</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The influence of the introduction on self assessment on compliance behavior of individual taxpayers in Malaysia.</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PhD thesis.</w:t>
      </w:r>
      <w:r>
        <w:rPr>
          <w:rFonts w:ascii="Times New Roman" w:cs="Times New Roman" w:eastAsia="Calibri" w:hAnsi="Times New Roman"/>
          <w:iCs/>
          <w:sz w:val="24"/>
          <w:szCs w:val="24"/>
        </w:rPr>
        <w:t xml:space="preserve"> University of Sydney</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Lumumba O., Migwi S. Obara, M. (2010).</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‘Taxpayers’ attitudes and tax compliance behavior in Kenya’.</w:t>
      </w:r>
      <w:r>
        <w:rPr>
          <w:rFonts w:ascii="Times New Roman" w:cs="Times New Roman" w:eastAsia="Calibri" w:hAnsi="Times New Roman"/>
          <w:iCs/>
          <w:sz w:val="24"/>
          <w:szCs w:val="24"/>
        </w:rPr>
        <w:t xml:space="preserve"> African Journal of Business and Management (AJBUMA), Vol. 1 p. 11</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Lymer, A., and Oats, L. (2009).</w:t>
      </w:r>
      <w:r>
        <w:rPr>
          <w:rFonts w:ascii="Times New Roman" w:cs="Times New Roman" w:eastAsia="Calibri" w:hAnsi="Times New Roman"/>
          <w:iCs/>
          <w:sz w:val="24"/>
          <w:szCs w:val="24"/>
        </w:rPr>
        <w:t xml:space="preserve"> Taxation: Policy and Practice. 16th ed. Birmingham: Fiscal Publications.</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 xml:space="preserve">Marti, L. (2010). </w:t>
      </w:r>
      <w:r>
        <w:rPr>
          <w:rFonts w:ascii="Times New Roman" w:cs="Times New Roman" w:eastAsia="Calibri" w:hAnsi="Times New Roman"/>
          <w:iCs/>
          <w:sz w:val="24"/>
          <w:szCs w:val="24"/>
        </w:rPr>
        <w:t>Taxpayers ‘attitudes and tax compliance behavior in Kenya.</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African Journal of Business and Management.</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McKerchar, M. (2010).</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Design and conduct of research in tax, law, and accounting.</w:t>
      </w:r>
      <w:r>
        <w:rPr>
          <w:rFonts w:ascii="Times New Roman" w:cs="Times New Roman" w:eastAsia="Calibri" w:hAnsi="Times New Roman"/>
          <w:iCs/>
          <w:sz w:val="24"/>
          <w:szCs w:val="24"/>
        </w:rPr>
        <w:t xml:space="preserve"> Sydney: Thomson Reuters. Retrieved 28 march 2011</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 xml:space="preserve">Misrak Tesfaye (2008). </w:t>
      </w:r>
      <w:r>
        <w:rPr>
          <w:rFonts w:ascii="Times New Roman" w:cs="Times New Roman" w:eastAsia="Calibri" w:hAnsi="Times New Roman"/>
          <w:iCs/>
          <w:sz w:val="24"/>
          <w:szCs w:val="24"/>
        </w:rPr>
        <w:t>Ethiopia tax accounting theory and practice, 1</w:t>
      </w:r>
      <w:r>
        <w:rPr>
          <w:rFonts w:ascii="Times New Roman" w:cs="Times New Roman" w:eastAsia="Calibri" w:hAnsi="Times New Roman"/>
          <w:iCs/>
          <w:sz w:val="24"/>
          <w:szCs w:val="24"/>
          <w:vertAlign w:val="superscript"/>
        </w:rPr>
        <w:t xml:space="preserve">st </w:t>
      </w:r>
      <w:r>
        <w:rPr>
          <w:rFonts w:ascii="Times New Roman" w:cs="Times New Roman" w:eastAsia="Calibri" w:hAnsi="Times New Roman"/>
          <w:iCs/>
          <w:sz w:val="24"/>
          <w:szCs w:val="24"/>
        </w:rPr>
        <w:t>edition Addis Ababa.</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Mohamad A., Mustafa, H., and Asri, M. (2007).</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The effects of knowledge on tax compliance behaviors among Malaysian taxpayers.</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International Conference on Business and Information July 11-13, Tokyo, Japan.</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Mohani, A and Sheehan, P. (2003).</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Estimating the extent of income tax non-compliance in Malaysia and Australia Using the gap approach (part I).</w:t>
      </w:r>
      <w:r>
        <w:rPr>
          <w:rFonts w:ascii="Times New Roman" w:cs="Times New Roman" w:eastAsia="Calibri" w:hAnsi="Times New Roman"/>
          <w:iCs/>
          <w:sz w:val="24"/>
          <w:szCs w:val="24"/>
        </w:rPr>
        <w:t xml:space="preserve"> Tax Nasional 4th quarter. 22- 34.</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Negarit Gazette, (2002). Income tax proclation 286/2002, FDRE: Addis Ababa. (2002. Income tax regulation 78/2002, FDRE: Addis Ababa</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 xml:space="preserve">Nunnally, J. (1978). </w:t>
      </w:r>
      <w:r>
        <w:rPr>
          <w:rFonts w:ascii="Times New Roman" w:cs="Times New Roman" w:eastAsia="Calibri" w:hAnsi="Times New Roman"/>
          <w:iCs/>
          <w:sz w:val="24"/>
          <w:szCs w:val="24"/>
        </w:rPr>
        <w:t>Pschometric thory, Mc Graw-hill, New York, NY.</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Old man, O. (1965).</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Controlling income tax evasion.</w:t>
      </w:r>
      <w:r>
        <w:rPr>
          <w:rFonts w:ascii="Times New Roman" w:cs="Times New Roman" w:eastAsia="Calibri" w:hAnsi="Times New Roman"/>
          <w:iCs/>
          <w:sz w:val="24"/>
          <w:szCs w:val="24"/>
        </w:rPr>
        <w:t xml:space="preserve"> In problems of tax administratin in Latin America (papers and proceedings of a conference held in Buenos Aires, Argentina, October, 1961).</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Reinikka, R. and Svensson, J. (2006) ‘Using micro-surveys to measure and explain corruption’. World Development 34(2): 359-370.</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Richupan, S</w:t>
      </w:r>
      <w:r>
        <w:rPr>
          <w:rFonts w:ascii="Times New Roman" w:cs="Times New Roman" w:eastAsia="Calibri" w:hAnsi="Times New Roman"/>
          <w:iCs/>
          <w:sz w:val="24"/>
          <w:szCs w:val="24"/>
        </w:rPr>
        <w:t>.(</w:t>
      </w:r>
      <w:r>
        <w:rPr>
          <w:rFonts w:ascii="Times New Roman" w:cs="Times New Roman" w:eastAsia="Calibri" w:hAnsi="Times New Roman"/>
          <w:iCs/>
          <w:sz w:val="24"/>
          <w:szCs w:val="24"/>
        </w:rPr>
        <w:t>1987). Determinants of income tax evasion. Role of tax rates: shape of tax schedules, and other factors</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 xml:space="preserve">Roberts, M. L. (1994). </w:t>
      </w:r>
      <w:r>
        <w:rPr>
          <w:rFonts w:ascii="Times New Roman" w:cs="Times New Roman" w:eastAsia="Calibri" w:hAnsi="Times New Roman"/>
          <w:iCs/>
          <w:sz w:val="24"/>
          <w:szCs w:val="24"/>
        </w:rPr>
        <w:t>Understanding attitudes toward progressive taxation.</w:t>
      </w:r>
      <w:r>
        <w:rPr>
          <w:rFonts w:ascii="Times New Roman" w:cs="Times New Roman" w:eastAsia="Calibri" w:hAnsi="Times New Roman"/>
          <w:iCs/>
          <w:sz w:val="24"/>
          <w:szCs w:val="24"/>
        </w:rPr>
        <w:t xml:space="preserve"> Public Opinion Quarterly, 58(2)/</w:t>
      </w:r>
      <w:r>
        <w:rPr>
          <w:rFonts w:ascii="Times New Roman" w:cs="Times New Roman" w:eastAsia="Calibri" w:hAnsi="Times New Roman"/>
          <w:iCs/>
          <w:sz w:val="24"/>
          <w:szCs w:val="24"/>
        </w:rPr>
        <w:t>1994 .</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 xml:space="preserve">Roth, J, Scholz, J &amp; Witte, </w:t>
      </w:r>
      <w:r>
        <w:rPr>
          <w:rFonts w:ascii="Times New Roman" w:cs="Times New Roman" w:eastAsia="Calibri" w:hAnsi="Times New Roman"/>
          <w:iCs/>
          <w:sz w:val="24"/>
          <w:szCs w:val="24"/>
        </w:rPr>
        <w:t>A</w:t>
      </w:r>
      <w:r>
        <w:rPr>
          <w:rFonts w:ascii="Times New Roman" w:cs="Times New Roman" w:eastAsia="Calibri" w:hAnsi="Times New Roman"/>
          <w:iCs/>
          <w:sz w:val="24"/>
          <w:szCs w:val="24"/>
        </w:rPr>
        <w:t xml:space="preserve"> 1989, Taxpayer Compliance: An Agenda for Research, University of Pennsylvania, Philadelphia.</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Roth, J.A, Scholz, J.T., and Witte, A.D. (1989).</w:t>
      </w:r>
      <w:r>
        <w:rPr>
          <w:rFonts w:ascii="Times New Roman" w:cs="Times New Roman" w:eastAsia="Calibri" w:hAnsi="Times New Roman"/>
          <w:iCs/>
          <w:sz w:val="24"/>
          <w:szCs w:val="24"/>
        </w:rPr>
        <w:t xml:space="preserve"> Taxpayer Compliance: An Agenda for Research. Philadelphia: University of Pennsylvania Press.</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Sandford, C., M. Godwin and P. Hardwick (1989).</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Administrative and compliance costs of taxation.</w:t>
      </w:r>
      <w:r>
        <w:rPr>
          <w:rFonts w:ascii="Times New Roman" w:cs="Times New Roman" w:eastAsia="Calibri" w:hAnsi="Times New Roman"/>
          <w:iCs/>
          <w:sz w:val="24"/>
          <w:szCs w:val="24"/>
        </w:rPr>
        <w:t xml:space="preserve"> Batch: fiscal publications. </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Saunders, M., Lewis, P., and Thornhill, A</w:t>
      </w:r>
      <w:r>
        <w:rPr>
          <w:rFonts w:ascii="Times New Roman" w:cs="Times New Roman" w:eastAsia="Calibri" w:hAnsi="Times New Roman"/>
          <w:iCs/>
          <w:sz w:val="24"/>
          <w:szCs w:val="24"/>
        </w:rPr>
        <w:t>,.</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(2012). Research Methods for Business Students.</w:t>
      </w:r>
      <w:r>
        <w:rPr>
          <w:rFonts w:ascii="Times New Roman" w:cs="Times New Roman" w:eastAsia="Calibri" w:hAnsi="Times New Roman"/>
          <w:iCs/>
          <w:sz w:val="24"/>
          <w:szCs w:val="24"/>
        </w:rPr>
        <w:t xml:space="preserve"> 4th ed. </w:t>
      </w:r>
      <w:r>
        <w:rPr>
          <w:rFonts w:ascii="Times New Roman" w:cs="Times New Roman" w:eastAsia="Calibri" w:hAnsi="Times New Roman"/>
          <w:iCs/>
          <w:sz w:val="24"/>
          <w:szCs w:val="24"/>
        </w:rPr>
        <w:t>Harlow :</w:t>
      </w:r>
      <w:r>
        <w:rPr>
          <w:rFonts w:ascii="Times New Roman" w:cs="Times New Roman" w:eastAsia="Calibri" w:hAnsi="Times New Roman"/>
          <w:iCs/>
          <w:sz w:val="24"/>
          <w:szCs w:val="24"/>
        </w:rPr>
        <w:t xml:space="preserve"> FT Prentice Hall.</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Seldom, A. (1979).</w:t>
      </w:r>
      <w:r>
        <w:rPr>
          <w:rFonts w:ascii="Times New Roman" w:cs="Times New Roman" w:eastAsia="Calibri" w:hAnsi="Times New Roman"/>
          <w:iCs/>
          <w:sz w:val="24"/>
          <w:szCs w:val="24"/>
        </w:rPr>
        <w:t xml:space="preserve"> Tax evasion: the economic, legal and moral inter relationships between Avoidance and Evasion, London, institute of Economic Affairs. </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Shanmugam, S. (2003).</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Managing self-assessment - an appraisal, Tax Nasional, 1st Quarter, 30- 32.</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Singh, V., (1999).</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Malaysian Tax Administration.</w:t>
      </w:r>
      <w:r>
        <w:rPr>
          <w:rFonts w:ascii="Times New Roman" w:cs="Times New Roman" w:eastAsia="Calibri" w:hAnsi="Times New Roman"/>
          <w:iCs/>
          <w:sz w:val="24"/>
          <w:szCs w:val="24"/>
        </w:rPr>
        <w:t xml:space="preserve"> 4th ed. Kuala Lumpur: Longman.</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Shultz and Harriss.</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(1949). American public finance 4</w:t>
      </w:r>
      <w:r>
        <w:rPr>
          <w:rFonts w:ascii="Times New Roman" w:cs="Times New Roman" w:eastAsia="Calibri" w:hAnsi="Times New Roman"/>
          <w:iCs/>
          <w:sz w:val="24"/>
          <w:szCs w:val="24"/>
          <w:vertAlign w:val="superscript"/>
        </w:rPr>
        <w:t>th</w:t>
      </w:r>
      <w:r>
        <w:rPr>
          <w:rFonts w:ascii="Times New Roman" w:cs="Times New Roman" w:eastAsia="Calibri" w:hAnsi="Times New Roman"/>
          <w:iCs/>
          <w:sz w:val="24"/>
          <w:szCs w:val="24"/>
        </w:rPr>
        <w:t xml:space="preserve"> edition.</w:t>
      </w:r>
      <w:r>
        <w:rPr>
          <w:rFonts w:ascii="Times New Roman" w:cs="Times New Roman" w:eastAsia="Calibri" w:hAnsi="Times New Roman"/>
          <w:iCs/>
          <w:sz w:val="24"/>
          <w:szCs w:val="24"/>
        </w:rPr>
        <w:t xml:space="preserve"> New York, USA: Prentice-Hall, INC.</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Smith, K.W. and Kinsey, K.A. (1987).</w:t>
      </w:r>
      <w:r>
        <w:rPr>
          <w:rFonts w:ascii="Times New Roman" w:cs="Times New Roman" w:eastAsia="Calibri" w:hAnsi="Times New Roman"/>
          <w:iCs/>
          <w:sz w:val="24"/>
          <w:szCs w:val="24"/>
        </w:rPr>
        <w:t xml:space="preserve"> Understanding taxpaying behavior: a conceptual frame work with implicatins for research. </w:t>
      </w:r>
      <w:r>
        <w:rPr>
          <w:rFonts w:ascii="Times New Roman" w:cs="Times New Roman" w:eastAsia="Calibri" w:hAnsi="Times New Roman"/>
          <w:iCs/>
          <w:sz w:val="24"/>
          <w:szCs w:val="24"/>
        </w:rPr>
        <w:t>Law and society rewiew, vol.21 (4).</w:t>
      </w:r>
      <w:r>
        <w:rPr>
          <w:rFonts w:ascii="Times New Roman" w:cs="Times New Roman" w:eastAsia="Calibri" w:hAnsi="Times New Roman"/>
          <w:iCs/>
          <w:sz w:val="24"/>
          <w:szCs w:val="24"/>
        </w:rPr>
        <w:t xml:space="preserve"> </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Snavely, k. (1990).</w:t>
      </w:r>
      <w:r>
        <w:rPr>
          <w:rFonts w:ascii="Times New Roman" w:cs="Times New Roman" w:eastAsia="Calibri" w:hAnsi="Times New Roman"/>
          <w:iCs/>
          <w:sz w:val="24"/>
          <w:szCs w:val="24"/>
        </w:rPr>
        <w:t xml:space="preserve"> Governmental policies to reduce tax evasion: coerced behavior versus services and values development.</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 xml:space="preserve">Sour, D.L. (2002). An analysis of tax compliance for the Mexican case: experimental evidence. </w:t>
      </w:r>
      <w:r>
        <w:rPr>
          <w:rFonts w:ascii="Times New Roman" w:cs="Times New Roman" w:eastAsia="Calibri" w:hAnsi="Times New Roman"/>
          <w:iCs/>
          <w:sz w:val="24"/>
          <w:szCs w:val="24"/>
        </w:rPr>
        <w:t>Doctorial dissertation, the University of Chicago.</w:t>
      </w:r>
    </w:p>
    <w:p>
      <w:pPr>
        <w:pStyle w:val="style0"/>
        <w:suppressAutoHyphens/>
        <w:autoSpaceDN w:val="false"/>
        <w:spacing w:after="0" w:lineRule="auto" w:line="360"/>
        <w:ind w:left="720"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Stack, S. and Kposowa, A. (2006). The effect of religiosity on tax fraud acceptability: A cross-national analysis: journal for the scientific study of religion, 45(3).</w:t>
      </w:r>
    </w:p>
    <w:p>
      <w:pPr>
        <w:pStyle w:val="style0"/>
        <w:suppressAutoHyphens/>
        <w:autoSpaceDN w:val="false"/>
        <w:spacing w:after="0" w:lineRule="auto" w:line="360"/>
        <w:ind w:left="720"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 xml:space="preserve">Torgler, B. (2006). The importance of faith: tax morale and religiosity. </w:t>
      </w:r>
      <w:r>
        <w:rPr>
          <w:rFonts w:ascii="Times New Roman" w:cs="Times New Roman" w:eastAsia="Calibri" w:hAnsi="Times New Roman"/>
          <w:iCs/>
          <w:sz w:val="24"/>
          <w:szCs w:val="24"/>
        </w:rPr>
        <w:t>Journal of economic Behavior and organization, 61(1).</w:t>
      </w:r>
    </w:p>
    <w:p>
      <w:pPr>
        <w:pStyle w:val="style0"/>
        <w:suppressAutoHyphens/>
        <w:autoSpaceDN w:val="false"/>
        <w:spacing w:after="0" w:lineRule="auto" w:line="360"/>
        <w:ind w:left="720"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 xml:space="preserve">Torgler, B. (2007). Tax Compliance and Tax Morale: A Theoretical and Empirical Analysis. </w:t>
      </w:r>
      <w:r>
        <w:rPr>
          <w:rFonts w:ascii="Times New Roman" w:cs="Times New Roman" w:eastAsia="Calibri" w:hAnsi="Times New Roman"/>
          <w:iCs/>
          <w:sz w:val="24"/>
          <w:szCs w:val="24"/>
        </w:rPr>
        <w:t>Cheltenham.</w:t>
      </w:r>
    </w:p>
    <w:p>
      <w:pPr>
        <w:pStyle w:val="style0"/>
        <w:suppressAutoHyphens/>
        <w:autoSpaceDN w:val="false"/>
        <w:spacing w:after="0" w:lineRule="auto" w:line="360"/>
        <w:ind w:left="720"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 xml:space="preserve">Trivedi, V.U. (1997). An experimental analysis of the impact of imperfect audits on future tax </w:t>
      </w:r>
      <w:r>
        <w:rPr>
          <w:rFonts w:ascii="Times New Roman" w:cs="Times New Roman" w:eastAsia="Calibri" w:hAnsi="Times New Roman"/>
          <w:iCs/>
          <w:sz w:val="24"/>
          <w:szCs w:val="24"/>
        </w:rPr>
        <w:t>compliance .</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Doctorial dissertation, Arizon state university.</w:t>
      </w:r>
      <w:r>
        <w:rPr>
          <w:rFonts w:ascii="Times New Roman" w:cs="Times New Roman" w:eastAsia="Calibri" w:hAnsi="Times New Roman"/>
          <w:iCs/>
          <w:sz w:val="24"/>
          <w:szCs w:val="24"/>
        </w:rPr>
        <w:t xml:space="preserve"> </w:t>
      </w:r>
    </w:p>
    <w:p>
      <w:pPr>
        <w:pStyle w:val="style0"/>
        <w:suppressAutoHyphens/>
        <w:autoSpaceDN w:val="false"/>
        <w:spacing w:after="0" w:lineRule="auto" w:line="360"/>
        <w:ind w:left="720"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 xml:space="preserve">Troutman, C.S. (1993). </w:t>
      </w:r>
      <w:r>
        <w:rPr>
          <w:rFonts w:ascii="Times New Roman" w:cs="Times New Roman" w:eastAsia="Calibri" w:hAnsi="Times New Roman"/>
          <w:iCs/>
          <w:sz w:val="24"/>
          <w:szCs w:val="24"/>
        </w:rPr>
        <w:t>Moral commitment to tax compliance as measured by the development of moral reasoning and attitudes towards the fairness of the tax laws, Ph.D. thesis.</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Oklahoma State University.</w:t>
      </w:r>
    </w:p>
    <w:p>
      <w:pPr>
        <w:pStyle w:val="style0"/>
        <w:suppressAutoHyphens/>
        <w:autoSpaceDN w:val="false"/>
        <w:spacing w:after="0" w:lineRule="auto" w:line="360"/>
        <w:ind w:left="720"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Tyler, T., and Lind, E. (1992).</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A relational model of authority in groups.</w:t>
      </w:r>
      <w:r>
        <w:rPr>
          <w:rFonts w:ascii="Times New Roman" w:cs="Times New Roman" w:eastAsia="Calibri" w:hAnsi="Times New Roman"/>
          <w:iCs/>
          <w:sz w:val="24"/>
          <w:szCs w:val="24"/>
        </w:rPr>
        <w:t xml:space="preserve"> In Zanna, M.P. (</w:t>
      </w:r>
      <w:r>
        <w:rPr>
          <w:rFonts w:ascii="Times New Roman" w:cs="Times New Roman" w:eastAsia="Calibri" w:hAnsi="Times New Roman"/>
          <w:iCs/>
          <w:sz w:val="24"/>
          <w:szCs w:val="24"/>
        </w:rPr>
        <w:t>ed</w:t>
      </w:r>
      <w:r>
        <w:rPr>
          <w:rFonts w:ascii="Times New Roman" w:cs="Times New Roman" w:eastAsia="Calibri" w:hAnsi="Times New Roman"/>
          <w:iCs/>
          <w:sz w:val="24"/>
          <w:szCs w:val="24"/>
        </w:rPr>
        <w:t xml:space="preserve">), Advances in Experimental Social Psychology, XXV, 115-191. San Diego, CA: Academic Press. Virmani, A. (1989). </w:t>
      </w:r>
      <w:r>
        <w:rPr>
          <w:rFonts w:ascii="Times New Roman" w:cs="Times New Roman" w:eastAsia="Calibri" w:hAnsi="Times New Roman"/>
          <w:iCs/>
          <w:sz w:val="24"/>
          <w:szCs w:val="24"/>
        </w:rPr>
        <w:t>Indirect tax evasion and production efficiency.</w:t>
      </w:r>
      <w:r>
        <w:rPr>
          <w:rFonts w:ascii="Times New Roman" w:cs="Times New Roman" w:eastAsia="Calibri" w:hAnsi="Times New Roman"/>
          <w:iCs/>
          <w:sz w:val="24"/>
          <w:szCs w:val="24"/>
        </w:rPr>
        <w:t xml:space="preserve"> Journal of Public Economics, 39, 223-237.</w:t>
      </w:r>
    </w:p>
    <w:p>
      <w:pPr>
        <w:pStyle w:val="style0"/>
        <w:suppressAutoHyphens/>
        <w:autoSpaceDN w:val="false"/>
        <w:spacing w:after="0" w:lineRule="auto" w:line="360"/>
        <w:ind w:left="720"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Van den doel, H (1979).</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Democracy and welfare economics.</w:t>
      </w:r>
      <w:r>
        <w:rPr>
          <w:rFonts w:ascii="Times New Roman" w:cs="Times New Roman" w:eastAsia="Calibri" w:hAnsi="Times New Roman"/>
          <w:iCs/>
          <w:sz w:val="24"/>
          <w:szCs w:val="24"/>
        </w:rPr>
        <w:t xml:space="preserve"> Cambridge: Cambridge university press</w:t>
      </w:r>
    </w:p>
    <w:p>
      <w:pPr>
        <w:pStyle w:val="style0"/>
        <w:suppressAutoHyphens/>
        <w:autoSpaceDN w:val="false"/>
        <w:spacing w:after="0" w:lineRule="auto" w:line="360"/>
        <w:ind w:left="720"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Vogel.</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J., (1974).</w:t>
      </w:r>
      <w:r>
        <w:rPr>
          <w:rFonts w:ascii="Times New Roman" w:cs="Times New Roman" w:eastAsia="Calibri" w:hAnsi="Times New Roman"/>
          <w:iCs/>
          <w:sz w:val="24"/>
          <w:szCs w:val="24"/>
        </w:rPr>
        <w:t xml:space="preserve"> Taxation and public opinion in Sweden: An interpretation of recent survey data. National Tax Journal, 28(4), 499-513.</w:t>
      </w:r>
    </w:p>
    <w:p>
      <w:pPr>
        <w:pStyle w:val="style0"/>
        <w:suppressAutoHyphens/>
        <w:autoSpaceDN w:val="false"/>
        <w:spacing w:after="0" w:lineRule="auto" w:line="360"/>
        <w:ind w:left="720"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Wahlund, R. (1992). Tax changes and economic behavior: The case of tax evasion. Journal of Economic Psychology, 13, 657-677.</w:t>
      </w:r>
    </w:p>
    <w:p>
      <w:pPr>
        <w:pStyle w:val="style0"/>
        <w:suppressAutoHyphens/>
        <w:autoSpaceDN w:val="false"/>
        <w:spacing w:after="0" w:lineRule="auto" w:line="360"/>
        <w:ind w:left="720"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Warneryd, K.E. and B. Walerud (1982).</w:t>
      </w:r>
      <w:r>
        <w:rPr>
          <w:rFonts w:ascii="Times New Roman" w:cs="Times New Roman" w:eastAsia="Calibri" w:hAnsi="Times New Roman"/>
          <w:iCs/>
          <w:sz w:val="24"/>
          <w:szCs w:val="24"/>
        </w:rPr>
        <w:t xml:space="preserve"> Taxes and </w:t>
      </w:r>
      <w:r>
        <w:rPr>
          <w:rFonts w:ascii="Times New Roman" w:cs="Times New Roman" w:eastAsia="Calibri" w:hAnsi="Times New Roman"/>
          <w:iCs/>
          <w:sz w:val="24"/>
          <w:szCs w:val="24"/>
        </w:rPr>
        <w:t>economic  behavior</w:t>
      </w:r>
      <w:r>
        <w:rPr>
          <w:rFonts w:ascii="Times New Roman" w:cs="Times New Roman" w:eastAsia="Calibri" w:hAnsi="Times New Roman"/>
          <w:iCs/>
          <w:sz w:val="24"/>
          <w:szCs w:val="24"/>
        </w:rPr>
        <w:t xml:space="preserve">: some interview data on  tax evasion in sweden. </w:t>
      </w:r>
      <w:r>
        <w:rPr>
          <w:rFonts w:ascii="Times New Roman" w:cs="Times New Roman" w:eastAsia="Calibri" w:hAnsi="Times New Roman"/>
          <w:iCs/>
          <w:sz w:val="24"/>
          <w:szCs w:val="24"/>
        </w:rPr>
        <w:t>In two journal of economic psychology.</w:t>
      </w:r>
      <w:r>
        <w:rPr>
          <w:rFonts w:ascii="Times New Roman" w:cs="Times New Roman" w:eastAsia="Calibri" w:hAnsi="Times New Roman"/>
          <w:iCs/>
          <w:sz w:val="24"/>
          <w:szCs w:val="24"/>
        </w:rPr>
        <w:t xml:space="preserve"> </w:t>
      </w:r>
    </w:p>
    <w:p>
      <w:pPr>
        <w:pStyle w:val="style0"/>
        <w:suppressAutoHyphens/>
        <w:autoSpaceDN w:val="false"/>
        <w:spacing w:after="0" w:lineRule="auto" w:line="360"/>
        <w:ind w:left="720"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Wenzel, M. (2003).</w:t>
      </w:r>
      <w:r>
        <w:rPr>
          <w:rFonts w:ascii="Times New Roman" w:cs="Times New Roman" w:eastAsia="Calibri" w:hAnsi="Times New Roman"/>
          <w:iCs/>
          <w:sz w:val="24"/>
          <w:szCs w:val="24"/>
        </w:rPr>
        <w:t xml:space="preserve"> Tax compliance and the psychology of justice: Mapping the field. In Braithwaite, V. (ed.), Taxing Democracy. </w:t>
      </w:r>
      <w:r>
        <w:rPr>
          <w:rFonts w:ascii="Times New Roman" w:cs="Times New Roman" w:eastAsia="Calibri" w:hAnsi="Times New Roman"/>
          <w:iCs/>
          <w:sz w:val="24"/>
          <w:szCs w:val="24"/>
        </w:rPr>
        <w:t>Understanding Tax Avoidance and Tax Evasion.</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pp.41-69</w:t>
      </w:r>
      <w:r>
        <w:rPr>
          <w:rFonts w:ascii="Times New Roman" w:cs="Times New Roman" w:eastAsia="Calibri" w:hAnsi="Times New Roman"/>
          <w:iCs/>
          <w:sz w:val="24"/>
          <w:szCs w:val="24"/>
        </w:rPr>
        <w:t>. Aldershot: Ashgate.</w:t>
      </w:r>
    </w:p>
    <w:p>
      <w:pPr>
        <w:pStyle w:val="style0"/>
        <w:suppressAutoHyphens/>
        <w:autoSpaceDN w:val="false"/>
        <w:spacing w:after="0" w:lineRule="auto" w:line="360"/>
        <w:ind w:left="720"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Witte, A., and Woodbury, D.F. (1985).</w:t>
      </w:r>
      <w:r>
        <w:rPr>
          <w:rFonts w:ascii="Times New Roman" w:cs="Times New Roman" w:eastAsia="Calibri" w:hAnsi="Times New Roman"/>
          <w:iCs/>
          <w:sz w:val="24"/>
          <w:szCs w:val="24"/>
        </w:rPr>
        <w:t xml:space="preserve"> What we know about the factors affecting compliance with the tax laws? In P. Sawicki (ed.), Income Tax Compliance: A Report of The ABA Section of Taxation Invitational Conference on Income Tax Compliance. </w:t>
      </w:r>
      <w:r>
        <w:rPr>
          <w:rFonts w:ascii="Times New Roman" w:cs="Times New Roman" w:eastAsia="Calibri" w:hAnsi="Times New Roman"/>
          <w:iCs/>
          <w:sz w:val="24"/>
          <w:szCs w:val="24"/>
        </w:rPr>
        <w:t>Pp 133-148, American Barr.</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Association, Chicago.</w:t>
      </w:r>
    </w:p>
    <w:p>
      <w:pPr>
        <w:pStyle w:val="style0"/>
        <w:suppressAutoHyphens/>
        <w:autoSpaceDN w:val="false"/>
        <w:spacing w:after="0" w:lineRule="auto" w:line="360"/>
        <w:ind w:left="720"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Yesegat, W. and Fjeldstad, O</w:t>
      </w:r>
      <w:r>
        <w:rPr>
          <w:rFonts w:ascii="Times New Roman" w:cs="Times New Roman" w:eastAsia="Calibri" w:hAnsi="Times New Roman"/>
          <w:iCs/>
          <w:sz w:val="24"/>
          <w:szCs w:val="24"/>
        </w:rPr>
        <w:t>,.</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(2016). Business people’s views of paying taxes in Ethiopia.</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ICTD Working Paper 43.</w:t>
      </w:r>
    </w:p>
    <w:p>
      <w:pPr>
        <w:pStyle w:val="style0"/>
        <w:suppressAutoHyphens/>
        <w:autoSpaceDN w:val="false"/>
        <w:spacing w:after="0" w:lineRule="auto" w:line="360"/>
        <w:ind w:left="720" w:hanging="720"/>
        <w:jc w:val="both"/>
        <w:textAlignment w:val="baseline"/>
        <w:rPr>
          <w:rFonts w:ascii="Times New Roman" w:cs="Times New Roman" w:eastAsia="Calibri" w:hAnsi="Times New Roman"/>
          <w:iCs/>
          <w:sz w:val="24"/>
          <w:szCs w:val="24"/>
        </w:rPr>
      </w:pPr>
      <w:r>
        <w:rPr>
          <w:rFonts w:ascii="Times New Roman" w:cs="Times New Roman" w:eastAsia="Calibri" w:hAnsi="Times New Roman"/>
          <w:iCs/>
          <w:sz w:val="24"/>
          <w:szCs w:val="24"/>
        </w:rPr>
        <w:t>Yamane, T. (1967) Statistics: An Introductory Analysis.</w:t>
      </w:r>
      <w:r>
        <w:rPr>
          <w:rFonts w:ascii="Times New Roman" w:cs="Times New Roman" w:eastAsia="Calibri" w:hAnsi="Times New Roman"/>
          <w:iCs/>
          <w:sz w:val="24"/>
          <w:szCs w:val="24"/>
        </w:rPr>
        <w:t xml:space="preserve"> </w:t>
      </w:r>
      <w:r>
        <w:rPr>
          <w:rFonts w:ascii="Times New Roman" w:cs="Times New Roman" w:eastAsia="Calibri" w:hAnsi="Times New Roman"/>
          <w:iCs/>
          <w:sz w:val="24"/>
          <w:szCs w:val="24"/>
        </w:rPr>
        <w:t>2nd Edition, Harper and Row, New York.</w:t>
      </w:r>
    </w:p>
    <w:p>
      <w:pPr>
        <w:pStyle w:val="style0"/>
        <w:suppressAutoHyphens/>
        <w:autoSpaceDN w:val="false"/>
        <w:spacing w:after="194" w:lineRule="auto" w:line="360"/>
        <w:ind w:left="705" w:hanging="720"/>
        <w:jc w:val="both"/>
        <w:textAlignment w:val="baseline"/>
        <w:rPr>
          <w:rFonts w:ascii="Times New Roman" w:cs="Times New Roman" w:eastAsia="Calibri" w:hAnsi="Times New Roman"/>
          <w:iCs/>
          <w:sz w:val="24"/>
          <w:szCs w:val="24"/>
        </w:rPr>
      </w:pPr>
    </w:p>
    <w:p>
      <w:pPr>
        <w:pStyle w:val="style0"/>
        <w:spacing w:after="0" w:lineRule="auto" w:line="360"/>
        <w:ind w:right="2438"/>
        <w:jc w:val="both"/>
        <w:rPr>
          <w:rFonts w:ascii="Times New Roman" w:cs="Times New Roman" w:eastAsia="Times New Roman" w:hAnsi="Times New Roman"/>
          <w:b/>
          <w:sz w:val="32"/>
          <w:szCs w:val="32"/>
        </w:rPr>
      </w:pPr>
    </w:p>
    <w:p>
      <w:pPr>
        <w:pStyle w:val="style0"/>
        <w:spacing w:after="0" w:lineRule="auto" w:line="360"/>
        <w:ind w:right="2438"/>
        <w:jc w:val="both"/>
        <w:rPr>
          <w:rFonts w:ascii="Times New Roman" w:cs="Times New Roman" w:eastAsia="Times New Roman" w:hAnsi="Times New Roman"/>
          <w:b/>
          <w:sz w:val="32"/>
          <w:szCs w:val="32"/>
        </w:rPr>
      </w:pPr>
    </w:p>
    <w:p>
      <w:pPr>
        <w:pStyle w:val="style0"/>
        <w:spacing w:after="0" w:lineRule="auto" w:line="360"/>
        <w:ind w:right="2438"/>
        <w:jc w:val="both"/>
        <w:rPr>
          <w:rFonts w:ascii="Times New Roman" w:cs="Times New Roman" w:eastAsia="Times New Roman" w:hAnsi="Times New Roman"/>
          <w:b/>
          <w:sz w:val="32"/>
          <w:szCs w:val="32"/>
        </w:rPr>
      </w:pPr>
    </w:p>
    <w:p>
      <w:pPr>
        <w:pStyle w:val="style0"/>
        <w:spacing w:after="0" w:lineRule="auto" w:line="360"/>
        <w:ind w:right="2438"/>
        <w:jc w:val="both"/>
        <w:rPr>
          <w:rFonts w:ascii="Times New Roman" w:cs="Times New Roman" w:eastAsia="Times New Roman" w:hAnsi="Times New Roman"/>
          <w:b/>
          <w:sz w:val="32"/>
          <w:szCs w:val="32"/>
        </w:rPr>
      </w:pPr>
    </w:p>
    <w:p>
      <w:pPr>
        <w:pStyle w:val="style0"/>
        <w:spacing w:after="0" w:lineRule="auto" w:line="360"/>
        <w:ind w:right="2438"/>
        <w:jc w:val="both"/>
        <w:rPr>
          <w:rFonts w:ascii="Times New Roman" w:cs="Times New Roman" w:eastAsia="Times New Roman" w:hAnsi="Times New Roman"/>
          <w:b/>
          <w:sz w:val="32"/>
          <w:szCs w:val="32"/>
        </w:rPr>
      </w:pPr>
    </w:p>
    <w:p>
      <w:pPr>
        <w:pStyle w:val="style0"/>
        <w:spacing w:after="0" w:lineRule="auto" w:line="360"/>
        <w:ind w:right="2438"/>
        <w:jc w:val="both"/>
        <w:rPr>
          <w:rFonts w:ascii="Times New Roman" w:cs="Times New Roman" w:eastAsia="Times New Roman" w:hAnsi="Times New Roman"/>
          <w:b/>
          <w:sz w:val="32"/>
          <w:szCs w:val="32"/>
        </w:rPr>
      </w:pPr>
    </w:p>
    <w:p>
      <w:pPr>
        <w:pStyle w:val="style0"/>
        <w:spacing w:after="0" w:lineRule="auto" w:line="360"/>
        <w:ind w:right="2438"/>
        <w:jc w:val="both"/>
        <w:rPr>
          <w:rFonts w:ascii="Times New Roman" w:cs="Times New Roman" w:eastAsia="Times New Roman" w:hAnsi="Times New Roman"/>
          <w:b/>
          <w:sz w:val="32"/>
          <w:szCs w:val="32"/>
        </w:rPr>
      </w:pPr>
    </w:p>
    <w:p>
      <w:pPr>
        <w:pStyle w:val="style0"/>
        <w:spacing w:after="0" w:lineRule="auto" w:line="360"/>
        <w:ind w:right="2438"/>
        <w:jc w:val="both"/>
        <w:rPr>
          <w:rFonts w:ascii="Times New Roman" w:cs="Times New Roman" w:eastAsia="Times New Roman" w:hAnsi="Times New Roman"/>
          <w:b/>
          <w:sz w:val="32"/>
          <w:szCs w:val="32"/>
        </w:rPr>
      </w:pPr>
    </w:p>
    <w:p>
      <w:pPr>
        <w:pStyle w:val="style0"/>
        <w:spacing w:after="0" w:lineRule="auto" w:line="360"/>
        <w:ind w:right="2438"/>
        <w:jc w:val="both"/>
        <w:rPr>
          <w:rFonts w:ascii="Times New Roman" w:cs="Times New Roman" w:eastAsia="Times New Roman" w:hAnsi="Times New Roman"/>
          <w:b/>
          <w:sz w:val="32"/>
          <w:szCs w:val="32"/>
        </w:rPr>
      </w:pPr>
    </w:p>
    <w:p>
      <w:pPr>
        <w:pStyle w:val="style0"/>
        <w:spacing w:after="0" w:lineRule="auto" w:line="360"/>
        <w:ind w:right="2438"/>
        <w:jc w:val="both"/>
        <w:rPr>
          <w:rFonts w:ascii="Times New Roman" w:cs="Times New Roman" w:eastAsia="Times New Roman" w:hAnsi="Times New Roman"/>
          <w:b/>
          <w:sz w:val="32"/>
          <w:szCs w:val="32"/>
        </w:rPr>
      </w:pPr>
    </w:p>
    <w:p>
      <w:pPr>
        <w:pStyle w:val="style0"/>
        <w:spacing w:after="0" w:lineRule="auto" w:line="360"/>
        <w:ind w:right="2438"/>
        <w:jc w:val="both"/>
        <w:rPr>
          <w:rFonts w:ascii="Times New Roman" w:cs="Times New Roman" w:eastAsia="Times New Roman" w:hAnsi="Times New Roman"/>
          <w:b/>
          <w:sz w:val="32"/>
          <w:szCs w:val="32"/>
        </w:rPr>
      </w:pPr>
    </w:p>
    <w:p>
      <w:pPr>
        <w:pStyle w:val="style0"/>
        <w:spacing w:after="0" w:lineRule="auto" w:line="360"/>
        <w:ind w:left="2433" w:right="2438" w:firstLine="9"/>
        <w:jc w:val="center"/>
        <w:rPr>
          <w:rFonts w:ascii="Times New Roman" w:cs="Times New Roman" w:eastAsia="Times New Roman" w:hAnsi="Times New Roman"/>
          <w:b/>
          <w:sz w:val="28"/>
          <w:szCs w:val="24"/>
        </w:rPr>
      </w:pPr>
      <w:r>
        <w:rPr>
          <w:rFonts w:ascii="Times New Roman" w:cs="Times New Roman" w:eastAsia="Times New Roman" w:hAnsi="Times New Roman"/>
          <w:b/>
          <w:sz w:val="28"/>
          <w:szCs w:val="24"/>
        </w:rPr>
        <w:t>AMBO</w:t>
      </w:r>
      <w:r>
        <w:rPr>
          <w:rFonts w:ascii="Times New Roman" w:cs="Times New Roman" w:eastAsia="Times New Roman" w:hAnsi="Times New Roman"/>
          <w:b/>
          <w:spacing w:val="-1"/>
          <w:sz w:val="28"/>
          <w:szCs w:val="24"/>
        </w:rPr>
        <w:t xml:space="preserve"> U</w:t>
      </w:r>
      <w:r>
        <w:rPr>
          <w:rFonts w:ascii="Times New Roman" w:cs="Times New Roman" w:eastAsia="Times New Roman" w:hAnsi="Times New Roman"/>
          <w:b/>
          <w:spacing w:val="2"/>
          <w:sz w:val="28"/>
          <w:szCs w:val="24"/>
        </w:rPr>
        <w:t>N</w:t>
      </w:r>
      <w:r>
        <w:rPr>
          <w:rFonts w:ascii="Times New Roman" w:cs="Times New Roman" w:eastAsia="Times New Roman" w:hAnsi="Times New Roman"/>
          <w:b/>
          <w:spacing w:val="-2"/>
          <w:sz w:val="28"/>
          <w:szCs w:val="24"/>
        </w:rPr>
        <w:t>I</w:t>
      </w:r>
      <w:r>
        <w:rPr>
          <w:rFonts w:ascii="Times New Roman" w:cs="Times New Roman" w:eastAsia="Times New Roman" w:hAnsi="Times New Roman"/>
          <w:b/>
          <w:spacing w:val="1"/>
          <w:sz w:val="28"/>
          <w:szCs w:val="24"/>
        </w:rPr>
        <w:t>VE</w:t>
      </w:r>
      <w:r>
        <w:rPr>
          <w:rFonts w:ascii="Times New Roman" w:cs="Times New Roman" w:eastAsia="Times New Roman" w:hAnsi="Times New Roman"/>
          <w:b/>
          <w:spacing w:val="-5"/>
          <w:sz w:val="28"/>
          <w:szCs w:val="24"/>
        </w:rPr>
        <w:t>R</w:t>
      </w:r>
      <w:r>
        <w:rPr>
          <w:rFonts w:ascii="Times New Roman" w:cs="Times New Roman" w:eastAsia="Times New Roman" w:hAnsi="Times New Roman"/>
          <w:b/>
          <w:spacing w:val="2"/>
          <w:sz w:val="28"/>
          <w:szCs w:val="24"/>
        </w:rPr>
        <w:t>S</w:t>
      </w:r>
      <w:r>
        <w:rPr>
          <w:rFonts w:ascii="Times New Roman" w:cs="Times New Roman" w:eastAsia="Times New Roman" w:hAnsi="Times New Roman"/>
          <w:b/>
          <w:spacing w:val="-1"/>
          <w:sz w:val="28"/>
          <w:szCs w:val="24"/>
        </w:rPr>
        <w:t>I</w:t>
      </w:r>
      <w:r>
        <w:rPr>
          <w:rFonts w:ascii="Times New Roman" w:cs="Times New Roman" w:eastAsia="Times New Roman" w:hAnsi="Times New Roman"/>
          <w:b/>
          <w:sz w:val="28"/>
          <w:szCs w:val="24"/>
        </w:rPr>
        <w:t>TY</w:t>
      </w:r>
    </w:p>
    <w:p>
      <w:pPr>
        <w:pStyle w:val="style0"/>
        <w:spacing w:after="0" w:lineRule="auto" w:line="360"/>
        <w:ind w:left="2433" w:right="2438" w:firstLine="9"/>
        <w:jc w:val="center"/>
        <w:rPr>
          <w:rFonts w:ascii="Times New Roman" w:cs="Times New Roman" w:eastAsia="Times New Roman" w:hAnsi="Times New Roman"/>
          <w:b/>
          <w:spacing w:val="-14"/>
          <w:sz w:val="28"/>
          <w:szCs w:val="24"/>
        </w:rPr>
      </w:pPr>
      <w:r>
        <w:rPr>
          <w:rFonts w:ascii="Times New Roman" w:cs="Times New Roman" w:eastAsia="Times New Roman" w:hAnsi="Times New Roman"/>
          <w:b/>
          <w:spacing w:val="1"/>
          <w:sz w:val="28"/>
          <w:szCs w:val="24"/>
        </w:rPr>
        <w:t>C</w:t>
      </w:r>
      <w:r>
        <w:rPr>
          <w:rFonts w:ascii="Times New Roman" w:cs="Times New Roman" w:eastAsia="Times New Roman" w:hAnsi="Times New Roman"/>
          <w:b/>
          <w:spacing w:val="-4"/>
          <w:sz w:val="28"/>
          <w:szCs w:val="24"/>
        </w:rPr>
        <w:t>O</w:t>
      </w:r>
      <w:r>
        <w:rPr>
          <w:rFonts w:ascii="Times New Roman" w:cs="Times New Roman" w:eastAsia="Times New Roman" w:hAnsi="Times New Roman"/>
          <w:b/>
          <w:spacing w:val="4"/>
          <w:sz w:val="28"/>
          <w:szCs w:val="24"/>
        </w:rPr>
        <w:t>L</w:t>
      </w:r>
      <w:r>
        <w:rPr>
          <w:rFonts w:ascii="Times New Roman" w:cs="Times New Roman" w:eastAsia="Times New Roman" w:hAnsi="Times New Roman"/>
          <w:b/>
          <w:sz w:val="28"/>
          <w:szCs w:val="24"/>
        </w:rPr>
        <w:t>L</w:t>
      </w:r>
      <w:r>
        <w:rPr>
          <w:rFonts w:ascii="Times New Roman" w:cs="Times New Roman" w:eastAsia="Times New Roman" w:hAnsi="Times New Roman"/>
          <w:b/>
          <w:spacing w:val="1"/>
          <w:sz w:val="28"/>
          <w:szCs w:val="24"/>
        </w:rPr>
        <w:t>E</w:t>
      </w:r>
      <w:r>
        <w:rPr>
          <w:rFonts w:ascii="Times New Roman" w:cs="Times New Roman" w:eastAsia="Times New Roman" w:hAnsi="Times New Roman"/>
          <w:b/>
          <w:sz w:val="28"/>
          <w:szCs w:val="24"/>
        </w:rPr>
        <w:t xml:space="preserve">GE </w:t>
      </w:r>
      <w:r>
        <w:rPr>
          <w:rFonts w:ascii="Times New Roman" w:cs="Times New Roman" w:eastAsia="Times New Roman" w:hAnsi="Times New Roman"/>
          <w:b/>
          <w:spacing w:val="-4"/>
          <w:w w:val="99"/>
          <w:sz w:val="28"/>
          <w:szCs w:val="24"/>
        </w:rPr>
        <w:t>O</w:t>
      </w:r>
      <w:r>
        <w:rPr>
          <w:rFonts w:ascii="Times New Roman" w:cs="Times New Roman" w:eastAsia="Times New Roman" w:hAnsi="Times New Roman"/>
          <w:b/>
          <w:w w:val="99"/>
          <w:sz w:val="28"/>
          <w:szCs w:val="24"/>
        </w:rPr>
        <w:t>F</w:t>
      </w:r>
      <w:r>
        <w:rPr>
          <w:rFonts w:ascii="Times New Roman" w:cs="Times New Roman" w:eastAsia="Times New Roman" w:hAnsi="Times New Roman"/>
          <w:b/>
          <w:spacing w:val="6"/>
          <w:sz w:val="28"/>
          <w:szCs w:val="24"/>
        </w:rPr>
        <w:t xml:space="preserve"> </w:t>
      </w:r>
      <w:r>
        <w:rPr>
          <w:rFonts w:ascii="Times New Roman" w:cs="Times New Roman" w:eastAsia="Times New Roman" w:hAnsi="Times New Roman"/>
          <w:b/>
          <w:spacing w:val="-6"/>
          <w:sz w:val="28"/>
          <w:szCs w:val="24"/>
        </w:rPr>
        <w:t>B</w:t>
      </w:r>
      <w:r>
        <w:rPr>
          <w:rFonts w:ascii="Times New Roman" w:cs="Times New Roman" w:eastAsia="Times New Roman" w:hAnsi="Times New Roman"/>
          <w:b/>
          <w:spacing w:val="2"/>
          <w:sz w:val="28"/>
          <w:szCs w:val="24"/>
        </w:rPr>
        <w:t>U</w:t>
      </w:r>
      <w:r>
        <w:rPr>
          <w:rFonts w:ascii="Times New Roman" w:cs="Times New Roman" w:eastAsia="Times New Roman" w:hAnsi="Times New Roman"/>
          <w:b/>
          <w:spacing w:val="4"/>
          <w:sz w:val="28"/>
          <w:szCs w:val="24"/>
        </w:rPr>
        <w:t>S</w:t>
      </w:r>
      <w:r>
        <w:rPr>
          <w:rFonts w:ascii="Times New Roman" w:cs="Times New Roman" w:eastAsia="Times New Roman" w:hAnsi="Times New Roman"/>
          <w:b/>
          <w:spacing w:val="-6"/>
          <w:sz w:val="28"/>
          <w:szCs w:val="24"/>
        </w:rPr>
        <w:t>I</w:t>
      </w:r>
      <w:r>
        <w:rPr>
          <w:rFonts w:ascii="Times New Roman" w:cs="Times New Roman" w:eastAsia="Times New Roman" w:hAnsi="Times New Roman"/>
          <w:b/>
          <w:spacing w:val="1"/>
          <w:sz w:val="28"/>
          <w:szCs w:val="24"/>
        </w:rPr>
        <w:t>N</w:t>
      </w:r>
      <w:r>
        <w:rPr>
          <w:rFonts w:ascii="Times New Roman" w:cs="Times New Roman" w:eastAsia="Times New Roman" w:hAnsi="Times New Roman"/>
          <w:b/>
          <w:spacing w:val="2"/>
          <w:sz w:val="28"/>
          <w:szCs w:val="24"/>
        </w:rPr>
        <w:t>E</w:t>
      </w:r>
      <w:r>
        <w:rPr>
          <w:rFonts w:ascii="Times New Roman" w:cs="Times New Roman" w:eastAsia="Times New Roman" w:hAnsi="Times New Roman"/>
          <w:b/>
          <w:sz w:val="28"/>
          <w:szCs w:val="24"/>
        </w:rPr>
        <w:t xml:space="preserve">SS </w:t>
      </w:r>
      <w:r>
        <w:rPr>
          <w:rFonts w:ascii="Times New Roman" w:cs="Times New Roman" w:eastAsia="Times New Roman" w:hAnsi="Times New Roman"/>
          <w:b/>
          <w:spacing w:val="5"/>
          <w:sz w:val="28"/>
          <w:szCs w:val="24"/>
        </w:rPr>
        <w:t>A</w:t>
      </w:r>
      <w:r>
        <w:rPr>
          <w:rFonts w:ascii="Times New Roman" w:cs="Times New Roman" w:eastAsia="Times New Roman" w:hAnsi="Times New Roman"/>
          <w:b/>
          <w:spacing w:val="-6"/>
          <w:sz w:val="28"/>
          <w:szCs w:val="24"/>
        </w:rPr>
        <w:t>N</w:t>
      </w:r>
      <w:r>
        <w:rPr>
          <w:rFonts w:ascii="Times New Roman" w:cs="Times New Roman" w:eastAsia="Times New Roman" w:hAnsi="Times New Roman"/>
          <w:b/>
          <w:sz w:val="28"/>
          <w:szCs w:val="24"/>
        </w:rPr>
        <w:t xml:space="preserve">D </w:t>
      </w:r>
      <w:r>
        <w:rPr>
          <w:rFonts w:ascii="Times New Roman" w:cs="Times New Roman" w:eastAsia="Times New Roman" w:hAnsi="Times New Roman"/>
          <w:b/>
          <w:spacing w:val="2"/>
          <w:sz w:val="28"/>
          <w:szCs w:val="24"/>
        </w:rPr>
        <w:t>E</w:t>
      </w:r>
      <w:r>
        <w:rPr>
          <w:rFonts w:ascii="Times New Roman" w:cs="Times New Roman" w:eastAsia="Times New Roman" w:hAnsi="Times New Roman"/>
          <w:b/>
          <w:spacing w:val="1"/>
          <w:sz w:val="28"/>
          <w:szCs w:val="24"/>
        </w:rPr>
        <w:t>C</w:t>
      </w:r>
      <w:r>
        <w:rPr>
          <w:rFonts w:ascii="Times New Roman" w:cs="Times New Roman" w:eastAsia="Times New Roman" w:hAnsi="Times New Roman"/>
          <w:b/>
          <w:sz w:val="28"/>
          <w:szCs w:val="24"/>
        </w:rPr>
        <w:t>O</w:t>
      </w:r>
      <w:r>
        <w:rPr>
          <w:rFonts w:ascii="Times New Roman" w:cs="Times New Roman" w:eastAsia="Times New Roman" w:hAnsi="Times New Roman"/>
          <w:b/>
          <w:spacing w:val="-1"/>
          <w:sz w:val="28"/>
          <w:szCs w:val="24"/>
        </w:rPr>
        <w:t>N</w:t>
      </w:r>
      <w:r>
        <w:rPr>
          <w:rFonts w:ascii="Times New Roman" w:cs="Times New Roman" w:eastAsia="Times New Roman" w:hAnsi="Times New Roman"/>
          <w:b/>
          <w:sz w:val="28"/>
          <w:szCs w:val="24"/>
        </w:rPr>
        <w:t>O</w:t>
      </w:r>
      <w:r>
        <w:rPr>
          <w:rFonts w:ascii="Times New Roman" w:cs="Times New Roman" w:eastAsia="Times New Roman" w:hAnsi="Times New Roman"/>
          <w:b/>
          <w:spacing w:val="4"/>
          <w:sz w:val="28"/>
          <w:szCs w:val="24"/>
        </w:rPr>
        <w:t>M</w:t>
      </w:r>
      <w:r>
        <w:rPr>
          <w:rFonts w:ascii="Times New Roman" w:cs="Times New Roman" w:eastAsia="Times New Roman" w:hAnsi="Times New Roman"/>
          <w:b/>
          <w:sz w:val="28"/>
          <w:szCs w:val="24"/>
        </w:rPr>
        <w:t>I</w:t>
      </w:r>
      <w:r>
        <w:rPr>
          <w:rFonts w:ascii="Times New Roman" w:cs="Times New Roman" w:eastAsia="Times New Roman" w:hAnsi="Times New Roman"/>
          <w:b/>
          <w:spacing w:val="1"/>
          <w:sz w:val="28"/>
          <w:szCs w:val="24"/>
        </w:rPr>
        <w:t>C</w:t>
      </w:r>
      <w:r>
        <w:rPr>
          <w:rFonts w:ascii="Times New Roman" w:cs="Times New Roman" w:eastAsia="Times New Roman" w:hAnsi="Times New Roman"/>
          <w:b/>
          <w:sz w:val="28"/>
          <w:szCs w:val="24"/>
        </w:rPr>
        <w:t>S</w:t>
      </w:r>
    </w:p>
    <w:p>
      <w:pPr>
        <w:pStyle w:val="style0"/>
        <w:spacing w:after="0" w:lineRule="auto" w:line="360"/>
        <w:ind w:firstLine="9"/>
        <w:jc w:val="center"/>
        <w:rPr>
          <w:rFonts w:ascii="Times New Roman" w:cs="Times New Roman" w:eastAsia="Times New Roman" w:hAnsi="Times New Roman"/>
          <w:sz w:val="28"/>
          <w:szCs w:val="24"/>
        </w:rPr>
      </w:pPr>
      <w:r>
        <w:rPr>
          <w:rFonts w:ascii="Times New Roman" w:cs="Times New Roman" w:eastAsia="Times New Roman" w:hAnsi="Times New Roman"/>
          <w:b/>
          <w:spacing w:val="1"/>
          <w:sz w:val="28"/>
          <w:szCs w:val="24"/>
        </w:rPr>
        <w:t>DE</w:t>
      </w:r>
      <w:r>
        <w:rPr>
          <w:rFonts w:ascii="Times New Roman" w:cs="Times New Roman" w:eastAsia="Times New Roman" w:hAnsi="Times New Roman"/>
          <w:b/>
          <w:spacing w:val="-1"/>
          <w:sz w:val="28"/>
          <w:szCs w:val="24"/>
        </w:rPr>
        <w:t>P</w:t>
      </w:r>
      <w:r>
        <w:rPr>
          <w:rFonts w:ascii="Times New Roman" w:cs="Times New Roman" w:eastAsia="Times New Roman" w:hAnsi="Times New Roman"/>
          <w:b/>
          <w:sz w:val="28"/>
          <w:szCs w:val="24"/>
        </w:rPr>
        <w:t>A</w:t>
      </w:r>
      <w:r>
        <w:rPr>
          <w:rFonts w:ascii="Times New Roman" w:cs="Times New Roman" w:eastAsia="Times New Roman" w:hAnsi="Times New Roman"/>
          <w:b/>
          <w:spacing w:val="1"/>
          <w:sz w:val="28"/>
          <w:szCs w:val="24"/>
        </w:rPr>
        <w:t>R</w:t>
      </w:r>
      <w:r>
        <w:rPr>
          <w:rFonts w:ascii="Times New Roman" w:cs="Times New Roman" w:eastAsia="Times New Roman" w:hAnsi="Times New Roman"/>
          <w:b/>
          <w:spacing w:val="3"/>
          <w:sz w:val="28"/>
          <w:szCs w:val="24"/>
        </w:rPr>
        <w:t>T</w:t>
      </w:r>
      <w:r>
        <w:rPr>
          <w:rFonts w:ascii="Times New Roman" w:cs="Times New Roman" w:eastAsia="Times New Roman" w:hAnsi="Times New Roman"/>
          <w:b/>
          <w:spacing w:val="-1"/>
          <w:sz w:val="28"/>
          <w:szCs w:val="24"/>
        </w:rPr>
        <w:t>M</w:t>
      </w:r>
      <w:r>
        <w:rPr>
          <w:rFonts w:ascii="Times New Roman" w:cs="Times New Roman" w:eastAsia="Times New Roman" w:hAnsi="Times New Roman"/>
          <w:b/>
          <w:spacing w:val="6"/>
          <w:sz w:val="28"/>
          <w:szCs w:val="24"/>
        </w:rPr>
        <w:t>E</w:t>
      </w:r>
      <w:r>
        <w:rPr>
          <w:rFonts w:ascii="Times New Roman" w:cs="Times New Roman" w:eastAsia="Times New Roman" w:hAnsi="Times New Roman"/>
          <w:b/>
          <w:spacing w:val="-6"/>
          <w:sz w:val="28"/>
          <w:szCs w:val="24"/>
        </w:rPr>
        <w:t>N</w:t>
      </w:r>
      <w:r>
        <w:rPr>
          <w:rFonts w:ascii="Times New Roman" w:cs="Times New Roman" w:eastAsia="Times New Roman" w:hAnsi="Times New Roman"/>
          <w:b/>
          <w:sz w:val="28"/>
          <w:szCs w:val="24"/>
        </w:rPr>
        <w:t>T</w:t>
      </w:r>
      <w:r>
        <w:rPr>
          <w:rFonts w:ascii="Times New Roman" w:cs="Times New Roman" w:eastAsia="Times New Roman" w:hAnsi="Times New Roman"/>
          <w:b/>
          <w:spacing w:val="-4"/>
          <w:w w:val="99"/>
          <w:sz w:val="28"/>
          <w:szCs w:val="24"/>
        </w:rPr>
        <w:t xml:space="preserve"> </w:t>
      </w:r>
      <w:r>
        <w:rPr>
          <w:rFonts w:ascii="Times New Roman" w:cs="Times New Roman" w:eastAsia="Times New Roman" w:hAnsi="Times New Roman"/>
          <w:b/>
          <w:w w:val="99"/>
          <w:sz w:val="28"/>
          <w:szCs w:val="24"/>
        </w:rPr>
        <w:t xml:space="preserve">OF </w:t>
      </w:r>
      <w:r>
        <w:rPr>
          <w:rFonts w:ascii="Times New Roman" w:cs="Times New Roman" w:eastAsia="Times New Roman" w:hAnsi="Times New Roman"/>
          <w:b/>
          <w:spacing w:val="1"/>
          <w:sz w:val="28"/>
          <w:szCs w:val="24"/>
        </w:rPr>
        <w:t>ACC</w:t>
      </w:r>
      <w:r>
        <w:rPr>
          <w:rFonts w:ascii="Times New Roman" w:cs="Times New Roman" w:eastAsia="Times New Roman" w:hAnsi="Times New Roman"/>
          <w:b/>
          <w:sz w:val="28"/>
          <w:szCs w:val="24"/>
        </w:rPr>
        <w:t>O</w:t>
      </w:r>
      <w:r>
        <w:rPr>
          <w:rFonts w:ascii="Times New Roman" w:cs="Times New Roman" w:eastAsia="Times New Roman" w:hAnsi="Times New Roman"/>
          <w:b/>
          <w:spacing w:val="-1"/>
          <w:sz w:val="28"/>
          <w:szCs w:val="24"/>
        </w:rPr>
        <w:t>UN</w:t>
      </w:r>
      <w:r>
        <w:rPr>
          <w:rFonts w:ascii="Times New Roman" w:cs="Times New Roman" w:eastAsia="Times New Roman" w:hAnsi="Times New Roman"/>
          <w:b/>
          <w:spacing w:val="3"/>
          <w:sz w:val="28"/>
          <w:szCs w:val="24"/>
        </w:rPr>
        <w:t>T</w:t>
      </w:r>
      <w:r>
        <w:rPr>
          <w:rFonts w:ascii="Times New Roman" w:cs="Times New Roman" w:eastAsia="Times New Roman" w:hAnsi="Times New Roman"/>
          <w:b/>
          <w:spacing w:val="4"/>
          <w:sz w:val="28"/>
          <w:szCs w:val="24"/>
        </w:rPr>
        <w:t>I</w:t>
      </w:r>
      <w:r>
        <w:rPr>
          <w:rFonts w:ascii="Times New Roman" w:cs="Times New Roman" w:eastAsia="Times New Roman" w:hAnsi="Times New Roman"/>
          <w:b/>
          <w:spacing w:val="-6"/>
          <w:sz w:val="28"/>
          <w:szCs w:val="24"/>
        </w:rPr>
        <w:t>N</w:t>
      </w:r>
      <w:r>
        <w:rPr>
          <w:rFonts w:ascii="Times New Roman" w:cs="Times New Roman" w:eastAsia="Times New Roman" w:hAnsi="Times New Roman"/>
          <w:b/>
          <w:sz w:val="28"/>
          <w:szCs w:val="24"/>
        </w:rPr>
        <w:t>G</w:t>
      </w:r>
      <w:r>
        <w:rPr>
          <w:rFonts w:ascii="Times New Roman" w:cs="Times New Roman" w:eastAsia="Times New Roman" w:hAnsi="Times New Roman"/>
          <w:b/>
          <w:spacing w:val="5"/>
          <w:sz w:val="28"/>
          <w:szCs w:val="24"/>
        </w:rPr>
        <w:t xml:space="preserve"> </w:t>
      </w:r>
      <w:r>
        <w:rPr>
          <w:rFonts w:ascii="Times New Roman" w:cs="Times New Roman" w:eastAsia="Times New Roman" w:hAnsi="Times New Roman"/>
          <w:b/>
          <w:spacing w:val="-1"/>
          <w:sz w:val="28"/>
          <w:szCs w:val="24"/>
        </w:rPr>
        <w:t>A</w:t>
      </w:r>
      <w:r>
        <w:rPr>
          <w:rFonts w:ascii="Times New Roman" w:cs="Times New Roman" w:eastAsia="Times New Roman" w:hAnsi="Times New Roman"/>
          <w:b/>
          <w:sz w:val="28"/>
          <w:szCs w:val="24"/>
        </w:rPr>
        <w:t xml:space="preserve">ND </w:t>
      </w:r>
      <w:r>
        <w:rPr>
          <w:rFonts w:ascii="Times New Roman" w:cs="Times New Roman" w:eastAsia="Times New Roman" w:hAnsi="Times New Roman"/>
          <w:b/>
          <w:spacing w:val="3"/>
          <w:sz w:val="28"/>
          <w:szCs w:val="24"/>
        </w:rPr>
        <w:t>F</w:t>
      </w:r>
      <w:r>
        <w:rPr>
          <w:rFonts w:ascii="Times New Roman" w:cs="Times New Roman" w:eastAsia="Times New Roman" w:hAnsi="Times New Roman"/>
          <w:b/>
          <w:spacing w:val="4"/>
          <w:sz w:val="28"/>
          <w:szCs w:val="24"/>
        </w:rPr>
        <w:t>I</w:t>
      </w:r>
      <w:r>
        <w:rPr>
          <w:rFonts w:ascii="Times New Roman" w:cs="Times New Roman" w:eastAsia="Times New Roman" w:hAnsi="Times New Roman"/>
          <w:b/>
          <w:spacing w:val="-6"/>
          <w:sz w:val="28"/>
          <w:szCs w:val="24"/>
        </w:rPr>
        <w:t>N</w:t>
      </w:r>
      <w:r>
        <w:rPr>
          <w:rFonts w:ascii="Times New Roman" w:cs="Times New Roman" w:eastAsia="Times New Roman" w:hAnsi="Times New Roman"/>
          <w:b/>
          <w:spacing w:val="5"/>
          <w:sz w:val="28"/>
          <w:szCs w:val="24"/>
        </w:rPr>
        <w:t>A</w:t>
      </w:r>
      <w:r>
        <w:rPr>
          <w:rFonts w:ascii="Times New Roman" w:cs="Times New Roman" w:eastAsia="Times New Roman" w:hAnsi="Times New Roman"/>
          <w:b/>
          <w:spacing w:val="-6"/>
          <w:sz w:val="28"/>
          <w:szCs w:val="24"/>
        </w:rPr>
        <w:t>N</w:t>
      </w:r>
      <w:r>
        <w:rPr>
          <w:rFonts w:ascii="Times New Roman" w:cs="Times New Roman" w:eastAsia="Times New Roman" w:hAnsi="Times New Roman"/>
          <w:b/>
          <w:spacing w:val="1"/>
          <w:sz w:val="28"/>
          <w:szCs w:val="24"/>
        </w:rPr>
        <w:t>C</w:t>
      </w:r>
      <w:r>
        <w:rPr>
          <w:rFonts w:ascii="Times New Roman" w:cs="Times New Roman" w:eastAsia="Times New Roman" w:hAnsi="Times New Roman"/>
          <w:b/>
          <w:sz w:val="28"/>
          <w:szCs w:val="24"/>
        </w:rPr>
        <w:t>E</w:t>
      </w:r>
    </w:p>
    <w:p>
      <w:pPr>
        <w:pStyle w:val="style0"/>
        <w:spacing w:after="0" w:lineRule="auto" w:line="360"/>
        <w:ind w:right="76"/>
        <w:jc w:val="both"/>
        <w:rPr>
          <w:rFonts w:ascii="Times New Roman" w:cs="Times New Roman" w:eastAsia="Times New Roman" w:hAnsi="Times New Roman"/>
          <w:sz w:val="24"/>
          <w:szCs w:val="24"/>
        </w:rPr>
      </w:pPr>
      <w:r>
        <w:rPr>
          <w:rFonts w:ascii="Times New Roman" w:cs="Times New Roman" w:eastAsia="Times New Roman" w:hAnsi="Times New Roman"/>
          <w:spacing w:val="2"/>
          <w:sz w:val="24"/>
          <w:szCs w:val="24"/>
        </w:rPr>
        <w:t>This questionnaire aims</w:t>
      </w:r>
      <w:r>
        <w:rPr>
          <w:rFonts w:ascii="Times New Roman" w:cs="Times New Roman" w:eastAsia="Times New Roman" w:hAnsi="Times New Roman"/>
          <w:sz w:val="24"/>
          <w:szCs w:val="24"/>
        </w:rPr>
        <w:t xml:space="preserve"> to </w:t>
      </w:r>
      <w:r>
        <w:rPr>
          <w:rFonts w:ascii="Times New Roman" w:cs="Times New Roman" w:eastAsia="Times New Roman" w:hAnsi="Times New Roman"/>
          <w:spacing w:val="-1"/>
          <w:sz w:val="24"/>
          <w:szCs w:val="24"/>
        </w:rPr>
        <w:t>a</w:t>
      </w:r>
      <w:r>
        <w:rPr>
          <w:rFonts w:ascii="Times New Roman" w:cs="Times New Roman" w:eastAsia="Times New Roman" w:hAnsi="Times New Roman"/>
          <w:spacing w:val="-2"/>
          <w:sz w:val="24"/>
          <w:szCs w:val="24"/>
        </w:rPr>
        <w:t>ss</w:t>
      </w:r>
      <w:r>
        <w:rPr>
          <w:rFonts w:ascii="Times New Roman" w:cs="Times New Roman" w:eastAsia="Times New Roman" w:hAnsi="Times New Roman"/>
          <w:spacing w:val="-1"/>
          <w:sz w:val="24"/>
          <w:szCs w:val="24"/>
        </w:rPr>
        <w:t>e</w:t>
      </w:r>
      <w:r>
        <w:rPr>
          <w:rFonts w:ascii="Times New Roman" w:cs="Times New Roman" w:eastAsia="Times New Roman" w:hAnsi="Times New Roman"/>
          <w:spacing w:val="3"/>
          <w:sz w:val="24"/>
          <w:szCs w:val="24"/>
        </w:rPr>
        <w:t>s</w:t>
      </w:r>
      <w:r>
        <w:rPr>
          <w:rFonts w:ascii="Times New Roman" w:cs="Times New Roman" w:eastAsia="Times New Roman" w:hAnsi="Times New Roman"/>
          <w:sz w:val="24"/>
          <w:szCs w:val="24"/>
        </w:rPr>
        <w:t>s</w:t>
      </w:r>
      <w:r>
        <w:rPr>
          <w:rFonts w:ascii="Times New Roman" w:cs="Times New Roman" w:eastAsia="Times New Roman" w:hAnsi="Times New Roman"/>
          <w:spacing w:val="8"/>
          <w:sz w:val="24"/>
          <w:szCs w:val="24"/>
        </w:rPr>
        <w:t xml:space="preserve"> the </w:t>
      </w:r>
      <w:r>
        <w:rPr>
          <w:rFonts w:ascii="Times New Roman" w:cs="Times New Roman" w:eastAsia="Times New Roman" w:hAnsi="Times New Roman"/>
          <w:spacing w:val="-4"/>
          <w:sz w:val="24"/>
          <w:szCs w:val="24"/>
        </w:rPr>
        <w:t>i</w:t>
      </w:r>
      <w:r>
        <w:rPr>
          <w:rFonts w:ascii="Times New Roman" w:cs="Times New Roman" w:eastAsia="Times New Roman" w:hAnsi="Times New Roman"/>
          <w:sz w:val="24"/>
          <w:szCs w:val="24"/>
        </w:rPr>
        <w:t>n</w:t>
      </w:r>
      <w:r>
        <w:rPr>
          <w:rFonts w:ascii="Times New Roman" w:cs="Times New Roman" w:eastAsia="Times New Roman" w:hAnsi="Times New Roman"/>
          <w:spacing w:val="-8"/>
          <w:sz w:val="24"/>
          <w:szCs w:val="24"/>
        </w:rPr>
        <w:t>f</w:t>
      </w:r>
      <w:r>
        <w:rPr>
          <w:rFonts w:ascii="Times New Roman" w:cs="Times New Roman" w:eastAsia="Times New Roman" w:hAnsi="Times New Roman"/>
          <w:spacing w:val="10"/>
          <w:sz w:val="24"/>
          <w:szCs w:val="24"/>
        </w:rPr>
        <w:t>o</w:t>
      </w:r>
      <w:r>
        <w:rPr>
          <w:rFonts w:ascii="Times New Roman" w:cs="Times New Roman" w:eastAsia="Times New Roman" w:hAnsi="Times New Roman"/>
          <w:spacing w:val="6"/>
          <w:sz w:val="24"/>
          <w:szCs w:val="24"/>
        </w:rPr>
        <w:t>r</w:t>
      </w:r>
      <w:r>
        <w:rPr>
          <w:rFonts w:ascii="Times New Roman" w:cs="Times New Roman" w:eastAsia="Times New Roman" w:hAnsi="Times New Roman"/>
          <w:spacing w:val="-9"/>
          <w:sz w:val="24"/>
          <w:szCs w:val="24"/>
        </w:rPr>
        <w:t>m</w:t>
      </w:r>
      <w:r>
        <w:rPr>
          <w:rFonts w:ascii="Times New Roman" w:cs="Times New Roman" w:eastAsia="Times New Roman" w:hAnsi="Times New Roman"/>
          <w:spacing w:val="-1"/>
          <w:sz w:val="24"/>
          <w:szCs w:val="24"/>
        </w:rPr>
        <w:t>a</w:t>
      </w:r>
      <w:r>
        <w:rPr>
          <w:rFonts w:ascii="Times New Roman" w:cs="Times New Roman" w:eastAsia="Times New Roman" w:hAnsi="Times New Roman"/>
          <w:spacing w:val="10"/>
          <w:sz w:val="24"/>
          <w:szCs w:val="24"/>
        </w:rPr>
        <w:t>t</w:t>
      </w:r>
      <w:r>
        <w:rPr>
          <w:rFonts w:ascii="Times New Roman" w:cs="Times New Roman" w:eastAsia="Times New Roman" w:hAnsi="Times New Roman"/>
          <w:spacing w:val="-9"/>
          <w:sz w:val="24"/>
          <w:szCs w:val="24"/>
        </w:rPr>
        <w:t>i</w:t>
      </w:r>
      <w:r>
        <w:rPr>
          <w:rFonts w:ascii="Times New Roman" w:cs="Times New Roman" w:eastAsia="Times New Roman" w:hAnsi="Times New Roman"/>
          <w:spacing w:val="5"/>
          <w:sz w:val="24"/>
          <w:szCs w:val="24"/>
        </w:rPr>
        <w:t>o</w:t>
      </w:r>
      <w:r>
        <w:rPr>
          <w:rFonts w:ascii="Times New Roman" w:cs="Times New Roman" w:eastAsia="Times New Roman" w:hAnsi="Times New Roman"/>
          <w:sz w:val="24"/>
          <w:szCs w:val="24"/>
        </w:rPr>
        <w:t xml:space="preserve">n </w:t>
      </w:r>
      <w:r>
        <w:rPr>
          <w:rFonts w:ascii="Times New Roman" w:cs="Times New Roman" w:eastAsia="Times New Roman" w:hAnsi="Times New Roman"/>
          <w:spacing w:val="-5"/>
          <w:sz w:val="24"/>
          <w:szCs w:val="24"/>
        </w:rPr>
        <w:t>n</w:t>
      </w:r>
      <w:r>
        <w:rPr>
          <w:rFonts w:ascii="Times New Roman" w:cs="Times New Roman" w:eastAsia="Times New Roman" w:hAnsi="Times New Roman"/>
          <w:spacing w:val="-1"/>
          <w:sz w:val="24"/>
          <w:szCs w:val="24"/>
        </w:rPr>
        <w:t>ee</w:t>
      </w:r>
      <w:r>
        <w:rPr>
          <w:rFonts w:ascii="Times New Roman" w:cs="Times New Roman" w:eastAsia="Times New Roman" w:hAnsi="Times New Roman"/>
          <w:sz w:val="24"/>
          <w:szCs w:val="24"/>
        </w:rPr>
        <w:t>d</w:t>
      </w:r>
      <w:r>
        <w:rPr>
          <w:rFonts w:ascii="Times New Roman" w:cs="Times New Roman" w:eastAsia="Times New Roman" w:hAnsi="Times New Roman"/>
          <w:spacing w:val="-1"/>
          <w:sz w:val="24"/>
          <w:szCs w:val="24"/>
        </w:rPr>
        <w:t>e</w:t>
      </w:r>
      <w:r>
        <w:rPr>
          <w:rFonts w:ascii="Times New Roman" w:cs="Times New Roman" w:eastAsia="Times New Roman" w:hAnsi="Times New Roman"/>
          <w:sz w:val="24"/>
          <w:szCs w:val="24"/>
        </w:rPr>
        <w:t xml:space="preserve">d </w:t>
      </w:r>
      <w:r>
        <w:rPr>
          <w:rFonts w:ascii="Times New Roman" w:cs="Times New Roman" w:eastAsia="Times New Roman" w:hAnsi="Times New Roman"/>
          <w:spacing w:val="-8"/>
          <w:sz w:val="24"/>
          <w:szCs w:val="24"/>
        </w:rPr>
        <w:t>f</w:t>
      </w:r>
      <w:r>
        <w:rPr>
          <w:rFonts w:ascii="Times New Roman" w:cs="Times New Roman" w:eastAsia="Times New Roman" w:hAnsi="Times New Roman"/>
          <w:spacing w:val="5"/>
          <w:sz w:val="24"/>
          <w:szCs w:val="24"/>
        </w:rPr>
        <w:t>o</w:t>
      </w:r>
      <w:r>
        <w:rPr>
          <w:rFonts w:ascii="Times New Roman" w:cs="Times New Roman" w:eastAsia="Times New Roman" w:hAnsi="Times New Roman"/>
          <w:sz w:val="24"/>
          <w:szCs w:val="24"/>
        </w:rPr>
        <w:t xml:space="preserve">r the </w:t>
      </w:r>
      <w:r>
        <w:rPr>
          <w:rFonts w:ascii="Times New Roman" w:cs="Times New Roman" w:eastAsia="Times New Roman" w:hAnsi="Times New Roman"/>
          <w:spacing w:val="2"/>
          <w:sz w:val="24"/>
          <w:szCs w:val="24"/>
        </w:rPr>
        <w:t>r</w:t>
      </w:r>
      <w:r>
        <w:rPr>
          <w:rFonts w:ascii="Times New Roman" w:cs="Times New Roman" w:eastAsia="Times New Roman" w:hAnsi="Times New Roman"/>
          <w:spacing w:val="-1"/>
          <w:sz w:val="24"/>
          <w:szCs w:val="24"/>
        </w:rPr>
        <w:t>e</w:t>
      </w:r>
      <w:r>
        <w:rPr>
          <w:rFonts w:ascii="Times New Roman" w:cs="Times New Roman" w:eastAsia="Times New Roman" w:hAnsi="Times New Roman"/>
          <w:spacing w:val="3"/>
          <w:sz w:val="24"/>
          <w:szCs w:val="24"/>
        </w:rPr>
        <w:t>s</w:t>
      </w:r>
      <w:r>
        <w:rPr>
          <w:rFonts w:ascii="Times New Roman" w:cs="Times New Roman" w:eastAsia="Times New Roman" w:hAnsi="Times New Roman"/>
          <w:spacing w:val="4"/>
          <w:sz w:val="24"/>
          <w:szCs w:val="24"/>
        </w:rPr>
        <w:t>e</w:t>
      </w:r>
      <w:r>
        <w:rPr>
          <w:rFonts w:ascii="Times New Roman" w:cs="Times New Roman" w:eastAsia="Times New Roman" w:hAnsi="Times New Roman"/>
          <w:spacing w:val="-1"/>
          <w:sz w:val="24"/>
          <w:szCs w:val="24"/>
        </w:rPr>
        <w:t>a</w:t>
      </w:r>
      <w:r>
        <w:rPr>
          <w:rFonts w:ascii="Times New Roman" w:cs="Times New Roman" w:eastAsia="Times New Roman" w:hAnsi="Times New Roman"/>
          <w:spacing w:val="2"/>
          <w:sz w:val="24"/>
          <w:szCs w:val="24"/>
        </w:rPr>
        <w:t>r</w:t>
      </w:r>
      <w:r>
        <w:rPr>
          <w:rFonts w:ascii="Times New Roman" w:cs="Times New Roman" w:eastAsia="Times New Roman" w:hAnsi="Times New Roman"/>
          <w:spacing w:val="-1"/>
          <w:sz w:val="24"/>
          <w:szCs w:val="24"/>
        </w:rPr>
        <w:t>c</w:t>
      </w:r>
      <w:r>
        <w:rPr>
          <w:rFonts w:ascii="Times New Roman" w:cs="Times New Roman" w:eastAsia="Times New Roman" w:hAnsi="Times New Roman"/>
          <w:sz w:val="24"/>
          <w:szCs w:val="24"/>
        </w:rPr>
        <w:t xml:space="preserve">h </w:t>
      </w:r>
      <w:r>
        <w:rPr>
          <w:rFonts w:ascii="Times New Roman" w:cs="Times New Roman" w:eastAsia="Times New Roman" w:hAnsi="Times New Roman"/>
          <w:spacing w:val="2"/>
          <w:sz w:val="24"/>
          <w:szCs w:val="24"/>
        </w:rPr>
        <w:t>r</w:t>
      </w:r>
      <w:r>
        <w:rPr>
          <w:rFonts w:ascii="Times New Roman" w:cs="Times New Roman" w:eastAsia="Times New Roman" w:hAnsi="Times New Roman"/>
          <w:spacing w:val="-1"/>
          <w:sz w:val="24"/>
          <w:szCs w:val="24"/>
        </w:rPr>
        <w:t>e</w:t>
      </w:r>
      <w:r>
        <w:rPr>
          <w:rFonts w:ascii="Times New Roman" w:cs="Times New Roman" w:eastAsia="Times New Roman" w:hAnsi="Times New Roman"/>
          <w:sz w:val="24"/>
          <w:szCs w:val="24"/>
        </w:rPr>
        <w:t>p</w:t>
      </w:r>
      <w:r>
        <w:rPr>
          <w:rFonts w:ascii="Times New Roman" w:cs="Times New Roman" w:eastAsia="Times New Roman" w:hAnsi="Times New Roman"/>
          <w:spacing w:val="5"/>
          <w:sz w:val="24"/>
          <w:szCs w:val="24"/>
        </w:rPr>
        <w:t>o</w:t>
      </w:r>
      <w:r>
        <w:rPr>
          <w:rFonts w:ascii="Times New Roman" w:cs="Times New Roman" w:eastAsia="Times New Roman" w:hAnsi="Times New Roman"/>
          <w:spacing w:val="-3"/>
          <w:sz w:val="24"/>
          <w:szCs w:val="24"/>
        </w:rPr>
        <w:t>r</w:t>
      </w:r>
      <w:r>
        <w:rPr>
          <w:rFonts w:ascii="Times New Roman" w:cs="Times New Roman" w:eastAsia="Times New Roman" w:hAnsi="Times New Roman"/>
          <w:sz w:val="24"/>
          <w:szCs w:val="24"/>
        </w:rPr>
        <w:t>t to</w:t>
      </w:r>
      <w:r>
        <w:rPr>
          <w:rFonts w:ascii="Times New Roman" w:cs="Times New Roman" w:eastAsia="Times New Roman" w:hAnsi="Times New Roman"/>
          <w:spacing w:val="-5"/>
          <w:sz w:val="24"/>
          <w:szCs w:val="24"/>
        </w:rPr>
        <w:t xml:space="preserve"> </w:t>
      </w:r>
      <w:r>
        <w:rPr>
          <w:rFonts w:ascii="Times New Roman" w:cs="Times New Roman" w:eastAsia="Times New Roman" w:hAnsi="Times New Roman"/>
          <w:sz w:val="24"/>
          <w:szCs w:val="24"/>
        </w:rPr>
        <w:t>be p</w:t>
      </w:r>
      <w:r>
        <w:rPr>
          <w:rFonts w:ascii="Times New Roman" w:cs="Times New Roman" w:eastAsia="Times New Roman" w:hAnsi="Times New Roman"/>
          <w:spacing w:val="2"/>
          <w:sz w:val="24"/>
          <w:szCs w:val="24"/>
        </w:rPr>
        <w:t>r</w:t>
      </w:r>
      <w:r>
        <w:rPr>
          <w:rFonts w:ascii="Times New Roman" w:cs="Times New Roman" w:eastAsia="Times New Roman" w:hAnsi="Times New Roman"/>
          <w:spacing w:val="5"/>
          <w:sz w:val="24"/>
          <w:szCs w:val="24"/>
        </w:rPr>
        <w:t>o</w:t>
      </w:r>
      <w:r>
        <w:rPr>
          <w:rFonts w:ascii="Times New Roman" w:cs="Times New Roman" w:eastAsia="Times New Roman" w:hAnsi="Times New Roman"/>
          <w:sz w:val="24"/>
          <w:szCs w:val="24"/>
        </w:rPr>
        <w:t>du</w:t>
      </w:r>
      <w:r>
        <w:rPr>
          <w:rFonts w:ascii="Times New Roman" w:cs="Times New Roman" w:eastAsia="Times New Roman" w:hAnsi="Times New Roman"/>
          <w:spacing w:val="-1"/>
          <w:sz w:val="24"/>
          <w:szCs w:val="24"/>
        </w:rPr>
        <w:t>ce</w:t>
      </w:r>
      <w:r>
        <w:rPr>
          <w:rFonts w:ascii="Times New Roman" w:cs="Times New Roman" w:eastAsia="Times New Roman" w:hAnsi="Times New Roman"/>
          <w:sz w:val="24"/>
          <w:szCs w:val="24"/>
        </w:rPr>
        <w:t>d u</w:t>
      </w:r>
      <w:r>
        <w:rPr>
          <w:rFonts w:ascii="Times New Roman" w:cs="Times New Roman" w:eastAsia="Times New Roman" w:hAnsi="Times New Roman"/>
          <w:spacing w:val="-5"/>
          <w:sz w:val="24"/>
          <w:szCs w:val="24"/>
        </w:rPr>
        <w:t>n</w:t>
      </w:r>
      <w:r>
        <w:rPr>
          <w:rFonts w:ascii="Times New Roman" w:cs="Times New Roman" w:eastAsia="Times New Roman" w:hAnsi="Times New Roman"/>
          <w:sz w:val="24"/>
          <w:szCs w:val="24"/>
        </w:rPr>
        <w:t>d</w:t>
      </w:r>
      <w:r>
        <w:rPr>
          <w:rFonts w:ascii="Times New Roman" w:cs="Times New Roman" w:eastAsia="Times New Roman" w:hAnsi="Times New Roman"/>
          <w:spacing w:val="-1"/>
          <w:sz w:val="24"/>
          <w:szCs w:val="24"/>
        </w:rPr>
        <w:t>e</w:t>
      </w:r>
      <w:r>
        <w:rPr>
          <w:rFonts w:ascii="Times New Roman" w:cs="Times New Roman" w:eastAsia="Times New Roman" w:hAnsi="Times New Roman"/>
          <w:sz w:val="24"/>
          <w:szCs w:val="24"/>
        </w:rPr>
        <w:t xml:space="preserve">r </w:t>
      </w:r>
      <w:r>
        <w:rPr>
          <w:rFonts w:ascii="Times New Roman" w:cs="Times New Roman" w:eastAsia="Times New Roman" w:hAnsi="Times New Roman"/>
          <w:spacing w:val="5"/>
          <w:sz w:val="24"/>
          <w:szCs w:val="24"/>
        </w:rPr>
        <w:t>t</w:t>
      </w:r>
      <w:r>
        <w:rPr>
          <w:rFonts w:ascii="Times New Roman" w:cs="Times New Roman" w:eastAsia="Times New Roman" w:hAnsi="Times New Roman"/>
          <w:spacing w:val="-5"/>
          <w:sz w:val="24"/>
          <w:szCs w:val="24"/>
        </w:rPr>
        <w:t>h</w:t>
      </w:r>
      <w:r>
        <w:rPr>
          <w:rFonts w:ascii="Times New Roman" w:cs="Times New Roman" w:eastAsia="Times New Roman" w:hAnsi="Times New Roman"/>
          <w:sz w:val="24"/>
          <w:szCs w:val="24"/>
        </w:rPr>
        <w:t xml:space="preserve">e </w:t>
      </w:r>
      <w:r>
        <w:rPr>
          <w:rFonts w:ascii="Times New Roman" w:cs="Times New Roman" w:eastAsia="Times New Roman" w:hAnsi="Times New Roman"/>
          <w:spacing w:val="10"/>
          <w:sz w:val="24"/>
          <w:szCs w:val="24"/>
        </w:rPr>
        <w:t>t</w:t>
      </w:r>
      <w:r>
        <w:rPr>
          <w:rFonts w:ascii="Times New Roman" w:cs="Times New Roman" w:eastAsia="Times New Roman" w:hAnsi="Times New Roman"/>
          <w:spacing w:val="-9"/>
          <w:sz w:val="24"/>
          <w:szCs w:val="24"/>
        </w:rPr>
        <w:t>i</w:t>
      </w:r>
      <w:r>
        <w:rPr>
          <w:rFonts w:ascii="Times New Roman" w:cs="Times New Roman" w:eastAsia="Times New Roman" w:hAnsi="Times New Roman"/>
          <w:spacing w:val="10"/>
          <w:sz w:val="24"/>
          <w:szCs w:val="24"/>
        </w:rPr>
        <w:t>t</w:t>
      </w:r>
      <w:r>
        <w:rPr>
          <w:rFonts w:ascii="Times New Roman" w:cs="Times New Roman" w:eastAsia="Times New Roman" w:hAnsi="Times New Roman"/>
          <w:spacing w:val="-9"/>
          <w:sz w:val="24"/>
          <w:szCs w:val="24"/>
        </w:rPr>
        <w:t>l</w:t>
      </w:r>
      <w:r>
        <w:rPr>
          <w:rFonts w:ascii="Times New Roman" w:cs="Times New Roman" w:eastAsia="Times New Roman" w:hAnsi="Times New Roman"/>
          <w:sz w:val="24"/>
          <w:szCs w:val="24"/>
        </w:rPr>
        <w:t>e</w:t>
      </w:r>
      <w:r>
        <w:rPr>
          <w:rFonts w:ascii="Times New Roman" w:cs="Times New Roman" w:eastAsia="Times New Roman" w:hAnsi="Times New Roman"/>
          <w:b/>
          <w:sz w:val="24"/>
          <w:szCs w:val="24"/>
        </w:rPr>
        <w:t xml:space="preserve"> </w:t>
      </w:r>
      <w:r>
        <w:rPr>
          <w:rFonts w:ascii="Times New Roman" w:cs="Times New Roman" w:eastAsia="Times New Roman" w:hAnsi="Times New Roman"/>
          <w:b/>
          <w:spacing w:val="5"/>
          <w:sz w:val="24"/>
          <w:szCs w:val="24"/>
        </w:rPr>
        <w:t>“</w:t>
      </w:r>
      <w:r>
        <w:rPr>
          <w:rFonts w:ascii="Times New Roman" w:cs="Times New Roman" w:eastAsia="Calibri" w:hAnsi="Times New Roman"/>
          <w:sz w:val="24"/>
          <w:szCs w:val="24"/>
        </w:rPr>
        <w:t>Voluntary Tax Compliance of Category Taxpayers evidence From Burayu City</w:t>
      </w:r>
      <w:r>
        <w:rPr>
          <w:rFonts w:ascii="Times New Roman" w:cs="Times New Roman" w:eastAsia="Times New Roman" w:hAnsi="Times New Roman"/>
          <w:sz w:val="24"/>
          <w:szCs w:val="24"/>
        </w:rPr>
        <w:t xml:space="preserve">: </w:t>
      </w:r>
      <w:r>
        <w:rPr>
          <w:rFonts w:ascii="Times New Roman" w:cs="Times New Roman" w:eastAsia="Times New Roman" w:hAnsi="Times New Roman"/>
          <w:spacing w:val="2"/>
          <w:sz w:val="24"/>
          <w:szCs w:val="24"/>
        </w:rPr>
        <w:t>T</w:t>
      </w:r>
      <w:r>
        <w:rPr>
          <w:rFonts w:ascii="Times New Roman" w:cs="Times New Roman" w:eastAsia="Times New Roman" w:hAnsi="Times New Roman"/>
          <w:sz w:val="24"/>
          <w:szCs w:val="24"/>
        </w:rPr>
        <w:t xml:space="preserve">he </w:t>
      </w:r>
      <w:r>
        <w:rPr>
          <w:rFonts w:ascii="Times New Roman" w:cs="Times New Roman" w:eastAsia="Times New Roman" w:hAnsi="Times New Roman"/>
          <w:spacing w:val="-1"/>
          <w:sz w:val="24"/>
          <w:szCs w:val="24"/>
        </w:rPr>
        <w:t>ca</w:t>
      </w:r>
      <w:r>
        <w:rPr>
          <w:rFonts w:ascii="Times New Roman" w:cs="Times New Roman" w:eastAsia="Times New Roman" w:hAnsi="Times New Roman"/>
          <w:spacing w:val="-2"/>
          <w:sz w:val="24"/>
          <w:szCs w:val="24"/>
        </w:rPr>
        <w:t>s</w:t>
      </w:r>
      <w:r>
        <w:rPr>
          <w:rFonts w:ascii="Times New Roman" w:cs="Times New Roman" w:eastAsia="Times New Roman" w:hAnsi="Times New Roman"/>
          <w:sz w:val="24"/>
          <w:szCs w:val="24"/>
        </w:rPr>
        <w:t>e</w:t>
      </w:r>
      <w:r>
        <w:rPr>
          <w:rFonts w:ascii="Times New Roman" w:cs="Times New Roman" w:eastAsia="Times New Roman" w:hAnsi="Times New Roman"/>
          <w:spacing w:val="5"/>
          <w:sz w:val="24"/>
          <w:szCs w:val="24"/>
        </w:rPr>
        <w:t xml:space="preserve"> </w:t>
      </w:r>
      <w:r>
        <w:rPr>
          <w:rFonts w:ascii="Times New Roman" w:cs="Times New Roman" w:eastAsia="Times New Roman" w:hAnsi="Times New Roman"/>
          <w:sz w:val="24"/>
          <w:szCs w:val="24"/>
        </w:rPr>
        <w:t xml:space="preserve">of </w:t>
      </w:r>
      <w:r>
        <w:rPr>
          <w:rFonts w:ascii="Times New Roman" w:cs="Times New Roman" w:eastAsia="Times New Roman" w:hAnsi="Times New Roman"/>
          <w:spacing w:val="3"/>
          <w:sz w:val="24"/>
          <w:szCs w:val="24"/>
        </w:rPr>
        <w:t>Burayu sub C</w:t>
      </w:r>
      <w:r>
        <w:rPr>
          <w:rFonts w:ascii="Times New Roman" w:cs="Times New Roman" w:eastAsia="Times New Roman" w:hAnsi="Times New Roman"/>
          <w:spacing w:val="-9"/>
          <w:sz w:val="24"/>
          <w:szCs w:val="24"/>
        </w:rPr>
        <w:t>i</w:t>
      </w:r>
      <w:r>
        <w:rPr>
          <w:rFonts w:ascii="Times New Roman" w:cs="Times New Roman" w:eastAsia="Times New Roman" w:hAnsi="Times New Roman"/>
          <w:spacing w:val="10"/>
          <w:sz w:val="24"/>
          <w:szCs w:val="24"/>
        </w:rPr>
        <w:t>t</w:t>
      </w:r>
      <w:r>
        <w:rPr>
          <w:rFonts w:ascii="Times New Roman" w:cs="Times New Roman" w:eastAsia="Times New Roman" w:hAnsi="Times New Roman"/>
          <w:spacing w:val="-9"/>
          <w:sz w:val="24"/>
          <w:szCs w:val="24"/>
        </w:rPr>
        <w:t>y</w:t>
      </w:r>
      <w:r>
        <w:rPr>
          <w:rFonts w:ascii="Times New Roman" w:cs="Times New Roman" w:eastAsia="Times New Roman" w:hAnsi="Times New Roman"/>
          <w:sz w:val="24"/>
          <w:szCs w:val="24"/>
        </w:rPr>
        <w:t xml:space="preserve">, </w:t>
      </w:r>
      <w:r>
        <w:rPr>
          <w:rFonts w:ascii="Times New Roman" w:cs="Times New Roman" w:eastAsia="Times New Roman" w:hAnsi="Times New Roman"/>
          <w:spacing w:val="7"/>
          <w:sz w:val="24"/>
          <w:szCs w:val="24"/>
        </w:rPr>
        <w:t>Oromia</w:t>
      </w:r>
      <w:r>
        <w:rPr>
          <w:rFonts w:ascii="Times New Roman" w:cs="Times New Roman" w:eastAsia="Times New Roman" w:hAnsi="Times New Roman"/>
          <w:sz w:val="24"/>
          <w:szCs w:val="24"/>
        </w:rPr>
        <w:t xml:space="preserve">, </w:t>
      </w:r>
      <w:r>
        <w:rPr>
          <w:rFonts w:ascii="Times New Roman" w:cs="Times New Roman" w:eastAsia="Times New Roman" w:hAnsi="Times New Roman"/>
          <w:spacing w:val="2"/>
          <w:sz w:val="24"/>
          <w:szCs w:val="24"/>
        </w:rPr>
        <w:t>E</w:t>
      </w:r>
      <w:r>
        <w:rPr>
          <w:rFonts w:ascii="Times New Roman" w:cs="Times New Roman" w:eastAsia="Times New Roman" w:hAnsi="Times New Roman"/>
          <w:spacing w:val="5"/>
          <w:sz w:val="24"/>
          <w:szCs w:val="24"/>
        </w:rPr>
        <w:t>t</w:t>
      </w:r>
      <w:r>
        <w:rPr>
          <w:rFonts w:ascii="Times New Roman" w:cs="Times New Roman" w:eastAsia="Times New Roman" w:hAnsi="Times New Roman"/>
          <w:sz w:val="24"/>
          <w:szCs w:val="24"/>
        </w:rPr>
        <w:t>h</w:t>
      </w:r>
      <w:r>
        <w:rPr>
          <w:rFonts w:ascii="Times New Roman" w:cs="Times New Roman" w:eastAsia="Times New Roman" w:hAnsi="Times New Roman"/>
          <w:spacing w:val="-9"/>
          <w:sz w:val="24"/>
          <w:szCs w:val="24"/>
        </w:rPr>
        <w:t>i</w:t>
      </w:r>
      <w:r>
        <w:rPr>
          <w:rFonts w:ascii="Times New Roman" w:cs="Times New Roman" w:eastAsia="Times New Roman" w:hAnsi="Times New Roman"/>
          <w:spacing w:val="5"/>
          <w:sz w:val="24"/>
          <w:szCs w:val="24"/>
        </w:rPr>
        <w:t>op</w:t>
      </w:r>
      <w:r>
        <w:rPr>
          <w:rFonts w:ascii="Times New Roman" w:cs="Times New Roman" w:eastAsia="Times New Roman" w:hAnsi="Times New Roman"/>
          <w:spacing w:val="-9"/>
          <w:sz w:val="24"/>
          <w:szCs w:val="24"/>
        </w:rPr>
        <w:t>i</w:t>
      </w:r>
      <w:r>
        <w:rPr>
          <w:rFonts w:ascii="Times New Roman" w:cs="Times New Roman" w:eastAsia="Times New Roman" w:hAnsi="Times New Roman"/>
          <w:spacing w:val="-1"/>
          <w:sz w:val="24"/>
          <w:szCs w:val="24"/>
        </w:rPr>
        <w:t>a</w:t>
      </w:r>
      <w:r>
        <w:rPr>
          <w:rFonts w:ascii="Times New Roman" w:cs="Times New Roman" w:eastAsia="Times New Roman" w:hAnsi="Times New Roman"/>
          <w:spacing w:val="2"/>
          <w:sz w:val="24"/>
          <w:szCs w:val="24"/>
        </w:rPr>
        <w:t>.</w:t>
      </w:r>
      <w:r>
        <w:rPr>
          <w:rFonts w:ascii="Times New Roman" w:cs="Times New Roman" w:eastAsia="Times New Roman" w:hAnsi="Times New Roman"/>
          <w:sz w:val="24"/>
          <w:szCs w:val="24"/>
        </w:rPr>
        <w:t xml:space="preserve">” </w:t>
      </w:r>
      <w:r>
        <w:rPr>
          <w:rFonts w:ascii="Times New Roman" w:cs="Times New Roman" w:eastAsia="Times New Roman" w:hAnsi="Times New Roman"/>
          <w:spacing w:val="2"/>
          <w:sz w:val="24"/>
          <w:szCs w:val="24"/>
        </w:rPr>
        <w:t>T</w:t>
      </w:r>
      <w:r>
        <w:rPr>
          <w:rFonts w:ascii="Times New Roman" w:cs="Times New Roman" w:eastAsia="Times New Roman" w:hAnsi="Times New Roman"/>
          <w:spacing w:val="-5"/>
          <w:sz w:val="24"/>
          <w:szCs w:val="24"/>
        </w:rPr>
        <w:t>h</w:t>
      </w:r>
      <w:r>
        <w:rPr>
          <w:rFonts w:ascii="Times New Roman" w:cs="Times New Roman" w:eastAsia="Times New Roman" w:hAnsi="Times New Roman"/>
          <w:sz w:val="24"/>
          <w:szCs w:val="24"/>
        </w:rPr>
        <w:t xml:space="preserve">e </w:t>
      </w:r>
      <w:r>
        <w:rPr>
          <w:rFonts w:ascii="Times New Roman" w:cs="Times New Roman" w:eastAsia="Times New Roman" w:hAnsi="Times New Roman"/>
          <w:spacing w:val="-4"/>
          <w:sz w:val="24"/>
          <w:szCs w:val="24"/>
        </w:rPr>
        <w:t>i</w:t>
      </w:r>
      <w:r>
        <w:rPr>
          <w:rFonts w:ascii="Times New Roman" w:cs="Times New Roman" w:eastAsia="Times New Roman" w:hAnsi="Times New Roman"/>
          <w:sz w:val="24"/>
          <w:szCs w:val="24"/>
        </w:rPr>
        <w:t>n</w:t>
      </w:r>
      <w:r>
        <w:rPr>
          <w:rFonts w:ascii="Times New Roman" w:cs="Times New Roman" w:eastAsia="Times New Roman" w:hAnsi="Times New Roman"/>
          <w:spacing w:val="-8"/>
          <w:sz w:val="24"/>
          <w:szCs w:val="24"/>
        </w:rPr>
        <w:t>f</w:t>
      </w:r>
      <w:r>
        <w:rPr>
          <w:rFonts w:ascii="Times New Roman" w:cs="Times New Roman" w:eastAsia="Times New Roman" w:hAnsi="Times New Roman"/>
          <w:spacing w:val="5"/>
          <w:sz w:val="24"/>
          <w:szCs w:val="24"/>
        </w:rPr>
        <w:t>o</w:t>
      </w:r>
      <w:r>
        <w:rPr>
          <w:rFonts w:ascii="Times New Roman" w:cs="Times New Roman" w:eastAsia="Times New Roman" w:hAnsi="Times New Roman"/>
          <w:spacing w:val="6"/>
          <w:sz w:val="24"/>
          <w:szCs w:val="24"/>
        </w:rPr>
        <w:t>r</w:t>
      </w:r>
      <w:r>
        <w:rPr>
          <w:rFonts w:ascii="Times New Roman" w:cs="Times New Roman" w:eastAsia="Times New Roman" w:hAnsi="Times New Roman"/>
          <w:spacing w:val="-4"/>
          <w:sz w:val="24"/>
          <w:szCs w:val="24"/>
        </w:rPr>
        <w:t>m</w:t>
      </w:r>
      <w:r>
        <w:rPr>
          <w:rFonts w:ascii="Times New Roman" w:cs="Times New Roman" w:eastAsia="Times New Roman" w:hAnsi="Times New Roman"/>
          <w:spacing w:val="-1"/>
          <w:sz w:val="24"/>
          <w:szCs w:val="24"/>
        </w:rPr>
        <w:t>a</w:t>
      </w:r>
      <w:r>
        <w:rPr>
          <w:rFonts w:ascii="Times New Roman" w:cs="Times New Roman" w:eastAsia="Times New Roman" w:hAnsi="Times New Roman"/>
          <w:spacing w:val="10"/>
          <w:sz w:val="24"/>
          <w:szCs w:val="24"/>
        </w:rPr>
        <w:t>t</w:t>
      </w:r>
      <w:r>
        <w:rPr>
          <w:rFonts w:ascii="Times New Roman" w:cs="Times New Roman" w:eastAsia="Times New Roman" w:hAnsi="Times New Roman"/>
          <w:spacing w:val="-9"/>
          <w:sz w:val="24"/>
          <w:szCs w:val="24"/>
        </w:rPr>
        <w:t>i</w:t>
      </w:r>
      <w:r>
        <w:rPr>
          <w:rFonts w:ascii="Times New Roman" w:cs="Times New Roman" w:eastAsia="Times New Roman" w:hAnsi="Times New Roman"/>
          <w:spacing w:val="5"/>
          <w:sz w:val="24"/>
          <w:szCs w:val="24"/>
        </w:rPr>
        <w:t>o</w:t>
      </w:r>
      <w:r>
        <w:rPr>
          <w:rFonts w:ascii="Times New Roman" w:cs="Times New Roman" w:eastAsia="Times New Roman" w:hAnsi="Times New Roman"/>
          <w:sz w:val="24"/>
          <w:szCs w:val="24"/>
        </w:rPr>
        <w:t xml:space="preserve">n </w:t>
      </w:r>
      <w:r>
        <w:rPr>
          <w:rFonts w:ascii="Times New Roman" w:cs="Times New Roman" w:eastAsia="Times New Roman" w:hAnsi="Times New Roman"/>
          <w:spacing w:val="-9"/>
          <w:sz w:val="24"/>
          <w:szCs w:val="24"/>
        </w:rPr>
        <w:t>y</w:t>
      </w:r>
      <w:r>
        <w:rPr>
          <w:rFonts w:ascii="Times New Roman" w:cs="Times New Roman" w:eastAsia="Times New Roman" w:hAnsi="Times New Roman"/>
          <w:spacing w:val="5"/>
          <w:sz w:val="24"/>
          <w:szCs w:val="24"/>
        </w:rPr>
        <w:t>o</w:t>
      </w:r>
      <w:r>
        <w:rPr>
          <w:rFonts w:ascii="Times New Roman" w:cs="Times New Roman" w:eastAsia="Times New Roman" w:hAnsi="Times New Roman"/>
          <w:sz w:val="24"/>
          <w:szCs w:val="24"/>
        </w:rPr>
        <w:t>u p</w:t>
      </w:r>
      <w:r>
        <w:rPr>
          <w:rFonts w:ascii="Times New Roman" w:cs="Times New Roman" w:eastAsia="Times New Roman" w:hAnsi="Times New Roman"/>
          <w:spacing w:val="2"/>
          <w:sz w:val="24"/>
          <w:szCs w:val="24"/>
        </w:rPr>
        <w:t>r</w:t>
      </w:r>
      <w:r>
        <w:rPr>
          <w:rFonts w:ascii="Times New Roman" w:cs="Times New Roman" w:eastAsia="Times New Roman" w:hAnsi="Times New Roman"/>
          <w:spacing w:val="5"/>
          <w:sz w:val="24"/>
          <w:szCs w:val="24"/>
        </w:rPr>
        <w:t>o</w:t>
      </w:r>
      <w:r>
        <w:rPr>
          <w:rFonts w:ascii="Times New Roman" w:cs="Times New Roman" w:eastAsia="Times New Roman" w:hAnsi="Times New Roman"/>
          <w:sz w:val="24"/>
          <w:szCs w:val="24"/>
        </w:rPr>
        <w:t>v</w:t>
      </w:r>
      <w:r>
        <w:rPr>
          <w:rFonts w:ascii="Times New Roman" w:cs="Times New Roman" w:eastAsia="Times New Roman" w:hAnsi="Times New Roman"/>
          <w:spacing w:val="-9"/>
          <w:sz w:val="24"/>
          <w:szCs w:val="24"/>
        </w:rPr>
        <w:t>i</w:t>
      </w:r>
      <w:r>
        <w:rPr>
          <w:rFonts w:ascii="Times New Roman" w:cs="Times New Roman" w:eastAsia="Times New Roman" w:hAnsi="Times New Roman"/>
          <w:sz w:val="24"/>
          <w:szCs w:val="24"/>
        </w:rPr>
        <w:t xml:space="preserve">de </w:t>
      </w:r>
      <w:r>
        <w:rPr>
          <w:rFonts w:ascii="Times New Roman" w:cs="Times New Roman" w:eastAsia="Times New Roman" w:hAnsi="Times New Roman"/>
          <w:spacing w:val="-4"/>
          <w:sz w:val="24"/>
          <w:szCs w:val="24"/>
        </w:rPr>
        <w:t>i</w:t>
      </w:r>
      <w:r>
        <w:rPr>
          <w:rFonts w:ascii="Times New Roman" w:cs="Times New Roman" w:eastAsia="Times New Roman" w:hAnsi="Times New Roman"/>
          <w:sz w:val="24"/>
          <w:szCs w:val="24"/>
        </w:rPr>
        <w:t xml:space="preserve">s </w:t>
      </w:r>
      <w:r>
        <w:rPr>
          <w:rFonts w:ascii="Times New Roman" w:cs="Times New Roman" w:eastAsia="Times New Roman" w:hAnsi="Times New Roman"/>
          <w:spacing w:val="4"/>
          <w:sz w:val="24"/>
          <w:szCs w:val="24"/>
        </w:rPr>
        <w:t>b</w:t>
      </w:r>
      <w:r>
        <w:rPr>
          <w:rFonts w:ascii="Times New Roman" w:cs="Times New Roman" w:eastAsia="Times New Roman" w:hAnsi="Times New Roman"/>
          <w:spacing w:val="-4"/>
          <w:sz w:val="24"/>
          <w:szCs w:val="24"/>
        </w:rPr>
        <w:t>el</w:t>
      </w:r>
      <w:r>
        <w:rPr>
          <w:rFonts w:ascii="Times New Roman" w:cs="Times New Roman" w:eastAsia="Times New Roman" w:hAnsi="Times New Roman"/>
          <w:spacing w:val="4"/>
          <w:sz w:val="24"/>
          <w:szCs w:val="24"/>
        </w:rPr>
        <w:t>i</w:t>
      </w:r>
      <w:r>
        <w:rPr>
          <w:rFonts w:ascii="Times New Roman" w:cs="Times New Roman" w:eastAsia="Times New Roman" w:hAnsi="Times New Roman"/>
          <w:sz w:val="24"/>
          <w:szCs w:val="24"/>
        </w:rPr>
        <w:t>e</w:t>
      </w:r>
      <w:r>
        <w:rPr>
          <w:rFonts w:ascii="Times New Roman" w:cs="Times New Roman" w:eastAsia="Times New Roman" w:hAnsi="Times New Roman"/>
          <w:spacing w:val="-1"/>
          <w:sz w:val="24"/>
          <w:szCs w:val="24"/>
        </w:rPr>
        <w:t>v</w:t>
      </w:r>
      <w:r>
        <w:rPr>
          <w:rFonts w:ascii="Times New Roman" w:cs="Times New Roman" w:eastAsia="Times New Roman" w:hAnsi="Times New Roman"/>
          <w:sz w:val="24"/>
          <w:szCs w:val="24"/>
        </w:rPr>
        <w:t xml:space="preserve">ed to </w:t>
      </w:r>
      <w:r>
        <w:rPr>
          <w:rFonts w:ascii="Times New Roman" w:cs="Times New Roman" w:eastAsia="Times New Roman" w:hAnsi="Times New Roman"/>
          <w:spacing w:val="-5"/>
          <w:sz w:val="24"/>
          <w:szCs w:val="24"/>
        </w:rPr>
        <w:t>h</w:t>
      </w:r>
      <w:r>
        <w:rPr>
          <w:rFonts w:ascii="Times New Roman" w:cs="Times New Roman" w:eastAsia="Times New Roman" w:hAnsi="Times New Roman"/>
          <w:spacing w:val="-1"/>
          <w:sz w:val="24"/>
          <w:szCs w:val="24"/>
        </w:rPr>
        <w:t>a</w:t>
      </w:r>
      <w:r>
        <w:rPr>
          <w:rFonts w:ascii="Times New Roman" w:cs="Times New Roman" w:eastAsia="Times New Roman" w:hAnsi="Times New Roman"/>
          <w:spacing w:val="-5"/>
          <w:sz w:val="24"/>
          <w:szCs w:val="24"/>
        </w:rPr>
        <w:t>v</w:t>
      </w:r>
      <w:r>
        <w:rPr>
          <w:rFonts w:ascii="Times New Roman" w:cs="Times New Roman" w:eastAsia="Times New Roman" w:hAnsi="Times New Roman"/>
          <w:sz w:val="24"/>
          <w:szCs w:val="24"/>
        </w:rPr>
        <w:t>e a g</w:t>
      </w:r>
      <w:r>
        <w:rPr>
          <w:rFonts w:ascii="Times New Roman" w:cs="Times New Roman" w:eastAsia="Times New Roman" w:hAnsi="Times New Roman"/>
          <w:spacing w:val="2"/>
          <w:sz w:val="24"/>
          <w:szCs w:val="24"/>
        </w:rPr>
        <w:t>r</w:t>
      </w:r>
      <w:r>
        <w:rPr>
          <w:rFonts w:ascii="Times New Roman" w:cs="Times New Roman" w:eastAsia="Times New Roman" w:hAnsi="Times New Roman"/>
          <w:spacing w:val="-1"/>
          <w:sz w:val="24"/>
          <w:szCs w:val="24"/>
        </w:rPr>
        <w:t>ea</w:t>
      </w:r>
      <w:r>
        <w:rPr>
          <w:rFonts w:ascii="Times New Roman" w:cs="Times New Roman" w:eastAsia="Times New Roman" w:hAnsi="Times New Roman"/>
          <w:sz w:val="24"/>
          <w:szCs w:val="24"/>
        </w:rPr>
        <w:t xml:space="preserve">t </w:t>
      </w:r>
      <w:r>
        <w:rPr>
          <w:rFonts w:ascii="Times New Roman" w:cs="Times New Roman" w:eastAsia="Times New Roman" w:hAnsi="Times New Roman"/>
          <w:spacing w:val="-5"/>
          <w:sz w:val="24"/>
          <w:szCs w:val="24"/>
        </w:rPr>
        <w:t>v</w:t>
      </w:r>
      <w:r>
        <w:rPr>
          <w:rFonts w:ascii="Times New Roman" w:cs="Times New Roman" w:eastAsia="Times New Roman" w:hAnsi="Times New Roman"/>
          <w:spacing w:val="4"/>
          <w:sz w:val="24"/>
          <w:szCs w:val="24"/>
        </w:rPr>
        <w:t>a</w:t>
      </w:r>
      <w:r>
        <w:rPr>
          <w:rFonts w:ascii="Times New Roman" w:cs="Times New Roman" w:eastAsia="Times New Roman" w:hAnsi="Times New Roman"/>
          <w:spacing w:val="-4"/>
          <w:sz w:val="24"/>
          <w:szCs w:val="24"/>
        </w:rPr>
        <w:t>l</w:t>
      </w:r>
      <w:r>
        <w:rPr>
          <w:rFonts w:ascii="Times New Roman" w:cs="Times New Roman" w:eastAsia="Times New Roman" w:hAnsi="Times New Roman"/>
          <w:sz w:val="24"/>
          <w:szCs w:val="24"/>
        </w:rPr>
        <w:t>ue</w:t>
      </w:r>
      <w:r>
        <w:rPr>
          <w:rFonts w:ascii="Times New Roman" w:cs="Times New Roman" w:eastAsia="Times New Roman" w:hAnsi="Times New Roman"/>
          <w:spacing w:val="-8"/>
          <w:sz w:val="24"/>
          <w:szCs w:val="24"/>
        </w:rPr>
        <w:t xml:space="preserve"> </w:t>
      </w:r>
      <w:r>
        <w:rPr>
          <w:rFonts w:ascii="Times New Roman" w:cs="Times New Roman" w:eastAsia="Times New Roman" w:hAnsi="Times New Roman"/>
          <w:spacing w:val="5"/>
          <w:sz w:val="24"/>
          <w:szCs w:val="24"/>
        </w:rPr>
        <w:t>f</w:t>
      </w:r>
      <w:r>
        <w:rPr>
          <w:rFonts w:ascii="Times New Roman" w:cs="Times New Roman" w:eastAsia="Times New Roman" w:hAnsi="Times New Roman"/>
          <w:sz w:val="24"/>
          <w:szCs w:val="24"/>
        </w:rPr>
        <w:t xml:space="preserve">or </w:t>
      </w:r>
      <w:r>
        <w:rPr>
          <w:rFonts w:ascii="Times New Roman" w:cs="Times New Roman" w:eastAsia="Times New Roman" w:hAnsi="Times New Roman"/>
          <w:spacing w:val="5"/>
          <w:sz w:val="24"/>
          <w:szCs w:val="24"/>
        </w:rPr>
        <w:t>t</w:t>
      </w:r>
      <w:r>
        <w:rPr>
          <w:rFonts w:ascii="Times New Roman" w:cs="Times New Roman" w:eastAsia="Times New Roman" w:hAnsi="Times New Roman"/>
          <w:spacing w:val="-5"/>
          <w:sz w:val="24"/>
          <w:szCs w:val="24"/>
        </w:rPr>
        <w:t>h</w:t>
      </w:r>
      <w:r>
        <w:rPr>
          <w:rFonts w:ascii="Times New Roman" w:cs="Times New Roman" w:eastAsia="Times New Roman" w:hAnsi="Times New Roman"/>
          <w:sz w:val="24"/>
          <w:szCs w:val="24"/>
        </w:rPr>
        <w:t>e</w:t>
      </w:r>
      <w:r>
        <w:rPr>
          <w:rFonts w:ascii="Times New Roman" w:cs="Times New Roman" w:eastAsia="Times New Roman" w:hAnsi="Times New Roman"/>
          <w:spacing w:val="-2"/>
          <w:sz w:val="24"/>
          <w:szCs w:val="24"/>
        </w:rPr>
        <w:t xml:space="preserve"> </w:t>
      </w:r>
      <w:r>
        <w:rPr>
          <w:rFonts w:ascii="Times New Roman" w:cs="Times New Roman" w:eastAsia="Times New Roman" w:hAnsi="Times New Roman"/>
          <w:spacing w:val="5"/>
          <w:sz w:val="24"/>
          <w:szCs w:val="24"/>
        </w:rPr>
        <w:t>s</w:t>
      </w:r>
      <w:r>
        <w:rPr>
          <w:rFonts w:ascii="Times New Roman" w:cs="Times New Roman" w:eastAsia="Times New Roman" w:hAnsi="Times New Roman"/>
          <w:spacing w:val="-1"/>
          <w:sz w:val="24"/>
          <w:szCs w:val="24"/>
        </w:rPr>
        <w:t>ucc</w:t>
      </w:r>
      <w:r>
        <w:rPr>
          <w:rFonts w:ascii="Times New Roman" w:cs="Times New Roman" w:eastAsia="Times New Roman" w:hAnsi="Times New Roman"/>
          <w:spacing w:val="3"/>
          <w:sz w:val="24"/>
          <w:szCs w:val="24"/>
        </w:rPr>
        <w:t>e</w:t>
      </w:r>
      <w:r>
        <w:rPr>
          <w:rFonts w:ascii="Times New Roman" w:cs="Times New Roman" w:eastAsia="Times New Roman" w:hAnsi="Times New Roman"/>
          <w:sz w:val="24"/>
          <w:szCs w:val="24"/>
        </w:rPr>
        <w:t xml:space="preserve">ss </w:t>
      </w:r>
      <w:r>
        <w:rPr>
          <w:rFonts w:ascii="Times New Roman" w:cs="Times New Roman" w:eastAsia="Times New Roman" w:hAnsi="Times New Roman"/>
          <w:spacing w:val="10"/>
          <w:sz w:val="24"/>
          <w:szCs w:val="24"/>
        </w:rPr>
        <w:t>o</w:t>
      </w:r>
      <w:r>
        <w:rPr>
          <w:rFonts w:ascii="Times New Roman" w:cs="Times New Roman" w:eastAsia="Times New Roman" w:hAnsi="Times New Roman"/>
          <w:sz w:val="24"/>
          <w:szCs w:val="24"/>
        </w:rPr>
        <w:t xml:space="preserve">f </w:t>
      </w:r>
      <w:r>
        <w:rPr>
          <w:rFonts w:ascii="Times New Roman" w:cs="Times New Roman" w:eastAsia="Times New Roman" w:hAnsi="Times New Roman"/>
          <w:spacing w:val="5"/>
          <w:sz w:val="24"/>
          <w:szCs w:val="24"/>
        </w:rPr>
        <w:t>t</w:t>
      </w:r>
      <w:r>
        <w:rPr>
          <w:rFonts w:ascii="Times New Roman" w:cs="Times New Roman" w:eastAsia="Times New Roman" w:hAnsi="Times New Roman"/>
          <w:sz w:val="24"/>
          <w:szCs w:val="24"/>
        </w:rPr>
        <w:t>h</w:t>
      </w:r>
      <w:r>
        <w:rPr>
          <w:rFonts w:ascii="Times New Roman" w:cs="Times New Roman" w:eastAsia="Times New Roman" w:hAnsi="Times New Roman"/>
          <w:spacing w:val="-4"/>
          <w:sz w:val="24"/>
          <w:szCs w:val="24"/>
        </w:rPr>
        <w:t>i</w:t>
      </w:r>
      <w:r>
        <w:rPr>
          <w:rFonts w:ascii="Times New Roman" w:cs="Times New Roman" w:eastAsia="Times New Roman" w:hAnsi="Times New Roman"/>
          <w:sz w:val="24"/>
          <w:szCs w:val="24"/>
        </w:rPr>
        <w:t xml:space="preserve">s </w:t>
      </w:r>
      <w:r>
        <w:rPr>
          <w:rFonts w:ascii="Times New Roman" w:cs="Times New Roman" w:eastAsia="Times New Roman" w:hAnsi="Times New Roman"/>
          <w:spacing w:val="2"/>
          <w:sz w:val="24"/>
          <w:szCs w:val="24"/>
        </w:rPr>
        <w:t>r</w:t>
      </w:r>
      <w:r>
        <w:rPr>
          <w:rFonts w:ascii="Times New Roman" w:cs="Times New Roman" w:eastAsia="Times New Roman" w:hAnsi="Times New Roman"/>
          <w:spacing w:val="-1"/>
          <w:sz w:val="24"/>
          <w:szCs w:val="24"/>
        </w:rPr>
        <w:t>e</w:t>
      </w:r>
      <w:r>
        <w:rPr>
          <w:rFonts w:ascii="Times New Roman" w:cs="Times New Roman" w:eastAsia="Times New Roman" w:hAnsi="Times New Roman"/>
          <w:spacing w:val="3"/>
          <w:sz w:val="24"/>
          <w:szCs w:val="24"/>
        </w:rPr>
        <w:t>s</w:t>
      </w:r>
      <w:r>
        <w:rPr>
          <w:rFonts w:ascii="Times New Roman" w:cs="Times New Roman" w:eastAsia="Times New Roman" w:hAnsi="Times New Roman"/>
          <w:spacing w:val="-1"/>
          <w:sz w:val="24"/>
          <w:szCs w:val="24"/>
        </w:rPr>
        <w:t>ea</w:t>
      </w:r>
      <w:r>
        <w:rPr>
          <w:rFonts w:ascii="Times New Roman" w:cs="Times New Roman" w:eastAsia="Times New Roman" w:hAnsi="Times New Roman"/>
          <w:spacing w:val="2"/>
          <w:sz w:val="24"/>
          <w:szCs w:val="24"/>
        </w:rPr>
        <w:t>r</w:t>
      </w:r>
      <w:r>
        <w:rPr>
          <w:rFonts w:ascii="Times New Roman" w:cs="Times New Roman" w:eastAsia="Times New Roman" w:hAnsi="Times New Roman"/>
          <w:spacing w:val="4"/>
          <w:sz w:val="24"/>
          <w:szCs w:val="24"/>
        </w:rPr>
        <w:t>c</w:t>
      </w:r>
      <w:r>
        <w:rPr>
          <w:rFonts w:ascii="Times New Roman" w:cs="Times New Roman" w:eastAsia="Times New Roman" w:hAnsi="Times New Roman"/>
          <w:spacing w:val="-5"/>
          <w:sz w:val="24"/>
          <w:szCs w:val="24"/>
        </w:rPr>
        <w:t>h</w:t>
      </w:r>
      <w:r>
        <w:rPr>
          <w:rFonts w:ascii="Times New Roman" w:cs="Times New Roman" w:eastAsia="Times New Roman" w:hAnsi="Times New Roman"/>
          <w:sz w:val="24"/>
          <w:szCs w:val="24"/>
        </w:rPr>
        <w:t xml:space="preserve">. </w:t>
      </w:r>
      <w:r>
        <w:rPr>
          <w:rFonts w:ascii="Times New Roman" w:cs="Times New Roman" w:eastAsia="Times New Roman" w:hAnsi="Times New Roman"/>
          <w:spacing w:val="-1"/>
          <w:sz w:val="24"/>
          <w:szCs w:val="24"/>
        </w:rPr>
        <w:t>Be</w:t>
      </w:r>
      <w:r>
        <w:rPr>
          <w:rFonts w:ascii="Times New Roman" w:cs="Times New Roman" w:eastAsia="Times New Roman" w:hAnsi="Times New Roman"/>
          <w:spacing w:val="3"/>
          <w:sz w:val="24"/>
          <w:szCs w:val="24"/>
        </w:rPr>
        <w:t>s</w:t>
      </w:r>
      <w:r>
        <w:rPr>
          <w:rFonts w:ascii="Times New Roman" w:cs="Times New Roman" w:eastAsia="Times New Roman" w:hAnsi="Times New Roman"/>
          <w:spacing w:val="-4"/>
          <w:sz w:val="24"/>
          <w:szCs w:val="24"/>
        </w:rPr>
        <w:t>i</w:t>
      </w:r>
      <w:r>
        <w:rPr>
          <w:rFonts w:ascii="Times New Roman" w:cs="Times New Roman" w:eastAsia="Times New Roman" w:hAnsi="Times New Roman"/>
          <w:sz w:val="24"/>
          <w:szCs w:val="24"/>
        </w:rPr>
        <w:t>d</w:t>
      </w:r>
      <w:r>
        <w:rPr>
          <w:rFonts w:ascii="Times New Roman" w:cs="Times New Roman" w:eastAsia="Times New Roman" w:hAnsi="Times New Roman"/>
          <w:spacing w:val="4"/>
          <w:sz w:val="24"/>
          <w:szCs w:val="24"/>
        </w:rPr>
        <w:t>e</w:t>
      </w:r>
      <w:r>
        <w:rPr>
          <w:rFonts w:ascii="Times New Roman" w:cs="Times New Roman" w:eastAsia="Times New Roman" w:hAnsi="Times New Roman"/>
          <w:sz w:val="24"/>
          <w:szCs w:val="24"/>
        </w:rPr>
        <w:t>s</w:t>
      </w:r>
      <w:r>
        <w:rPr>
          <w:rFonts w:ascii="Times New Roman" w:cs="Times New Roman" w:eastAsia="Times New Roman" w:hAnsi="Times New Roman"/>
          <w:spacing w:val="5"/>
          <w:sz w:val="24"/>
          <w:szCs w:val="24"/>
        </w:rPr>
        <w:t xml:space="preserve"> t</w:t>
      </w:r>
      <w:r>
        <w:rPr>
          <w:rFonts w:ascii="Times New Roman" w:cs="Times New Roman" w:eastAsia="Times New Roman" w:hAnsi="Times New Roman"/>
          <w:sz w:val="24"/>
          <w:szCs w:val="24"/>
        </w:rPr>
        <w:t>o</w:t>
      </w:r>
      <w:r>
        <w:rPr>
          <w:rFonts w:ascii="Times New Roman" w:cs="Times New Roman" w:eastAsia="Times New Roman" w:hAnsi="Times New Roman"/>
          <w:spacing w:val="-9"/>
          <w:sz w:val="24"/>
          <w:szCs w:val="24"/>
        </w:rPr>
        <w:t xml:space="preserve"> </w:t>
      </w:r>
      <w:r>
        <w:rPr>
          <w:rFonts w:ascii="Times New Roman" w:cs="Times New Roman" w:eastAsia="Times New Roman" w:hAnsi="Times New Roman"/>
          <w:spacing w:val="5"/>
          <w:sz w:val="24"/>
          <w:szCs w:val="24"/>
        </w:rPr>
        <w:t>i</w:t>
      </w:r>
      <w:r>
        <w:rPr>
          <w:rFonts w:ascii="Times New Roman" w:cs="Times New Roman" w:eastAsia="Times New Roman" w:hAnsi="Times New Roman"/>
          <w:sz w:val="24"/>
          <w:szCs w:val="24"/>
        </w:rPr>
        <w:t xml:space="preserve">ts </w:t>
      </w:r>
      <w:r>
        <w:rPr>
          <w:rFonts w:ascii="Times New Roman" w:cs="Times New Roman" w:eastAsia="Times New Roman" w:hAnsi="Times New Roman"/>
          <w:spacing w:val="-1"/>
          <w:sz w:val="24"/>
          <w:szCs w:val="24"/>
        </w:rPr>
        <w:t>aca</w:t>
      </w:r>
      <w:r>
        <w:rPr>
          <w:rFonts w:ascii="Times New Roman" w:cs="Times New Roman" w:eastAsia="Times New Roman" w:hAnsi="Times New Roman"/>
          <w:sz w:val="24"/>
          <w:szCs w:val="24"/>
        </w:rPr>
        <w:t>d</w:t>
      </w:r>
      <w:r>
        <w:rPr>
          <w:rFonts w:ascii="Times New Roman" w:cs="Times New Roman" w:eastAsia="Times New Roman" w:hAnsi="Times New Roman"/>
          <w:spacing w:val="4"/>
          <w:sz w:val="24"/>
          <w:szCs w:val="24"/>
        </w:rPr>
        <w:t>e</w:t>
      </w:r>
      <w:r>
        <w:rPr>
          <w:rFonts w:ascii="Times New Roman" w:cs="Times New Roman" w:eastAsia="Times New Roman" w:hAnsi="Times New Roman"/>
          <w:spacing w:val="1"/>
          <w:sz w:val="24"/>
          <w:szCs w:val="24"/>
        </w:rPr>
        <w:t>m</w:t>
      </w:r>
      <w:r>
        <w:rPr>
          <w:rFonts w:ascii="Times New Roman" w:cs="Times New Roman" w:eastAsia="Times New Roman" w:hAnsi="Times New Roman"/>
          <w:spacing w:val="-4"/>
          <w:sz w:val="24"/>
          <w:szCs w:val="24"/>
        </w:rPr>
        <w:t>i</w:t>
      </w:r>
      <w:r>
        <w:rPr>
          <w:rFonts w:ascii="Times New Roman" w:cs="Times New Roman" w:eastAsia="Times New Roman" w:hAnsi="Times New Roman"/>
          <w:sz w:val="24"/>
          <w:szCs w:val="24"/>
        </w:rPr>
        <w:t>c p</w:t>
      </w:r>
      <w:r>
        <w:rPr>
          <w:rFonts w:ascii="Times New Roman" w:cs="Times New Roman" w:eastAsia="Times New Roman" w:hAnsi="Times New Roman"/>
          <w:spacing w:val="2"/>
          <w:sz w:val="24"/>
          <w:szCs w:val="24"/>
        </w:rPr>
        <w:t>u</w:t>
      </w:r>
      <w:r>
        <w:rPr>
          <w:rFonts w:ascii="Times New Roman" w:cs="Times New Roman" w:eastAsia="Times New Roman" w:hAnsi="Times New Roman"/>
          <w:sz w:val="24"/>
          <w:szCs w:val="24"/>
        </w:rPr>
        <w:t>r</w:t>
      </w:r>
      <w:r>
        <w:rPr>
          <w:rFonts w:ascii="Times New Roman" w:cs="Times New Roman" w:eastAsia="Times New Roman" w:hAnsi="Times New Roman"/>
          <w:spacing w:val="5"/>
          <w:sz w:val="24"/>
          <w:szCs w:val="24"/>
        </w:rPr>
        <w:t>p</w:t>
      </w:r>
      <w:r>
        <w:rPr>
          <w:rFonts w:ascii="Times New Roman" w:cs="Times New Roman" w:eastAsia="Times New Roman" w:hAnsi="Times New Roman"/>
          <w:spacing w:val="-2"/>
          <w:sz w:val="24"/>
          <w:szCs w:val="24"/>
        </w:rPr>
        <w:t>o</w:t>
      </w:r>
      <w:r>
        <w:rPr>
          <w:rFonts w:ascii="Times New Roman" w:cs="Times New Roman" w:eastAsia="Times New Roman" w:hAnsi="Times New Roman"/>
          <w:spacing w:val="-1"/>
          <w:sz w:val="24"/>
          <w:szCs w:val="24"/>
        </w:rPr>
        <w:t>se</w:t>
      </w:r>
      <w:r>
        <w:rPr>
          <w:rFonts w:ascii="Times New Roman" w:cs="Times New Roman" w:eastAsia="Times New Roman" w:hAnsi="Times New Roman"/>
          <w:sz w:val="24"/>
          <w:szCs w:val="24"/>
        </w:rPr>
        <w:t>,</w:t>
      </w:r>
      <w:r>
        <w:rPr>
          <w:rFonts w:ascii="Times New Roman" w:cs="Times New Roman" w:eastAsia="Times New Roman" w:hAnsi="Times New Roman"/>
          <w:spacing w:val="5"/>
          <w:sz w:val="24"/>
          <w:szCs w:val="24"/>
        </w:rPr>
        <w:t xml:space="preserve"> t</w:t>
      </w:r>
      <w:r>
        <w:rPr>
          <w:rFonts w:ascii="Times New Roman" w:cs="Times New Roman" w:eastAsia="Times New Roman" w:hAnsi="Times New Roman"/>
          <w:spacing w:val="-5"/>
          <w:sz w:val="24"/>
          <w:szCs w:val="24"/>
        </w:rPr>
        <w:t>h</w:t>
      </w:r>
      <w:r>
        <w:rPr>
          <w:rFonts w:ascii="Times New Roman" w:cs="Times New Roman" w:eastAsia="Times New Roman" w:hAnsi="Times New Roman"/>
          <w:sz w:val="24"/>
          <w:szCs w:val="24"/>
        </w:rPr>
        <w:t>e</w:t>
      </w:r>
      <w:r>
        <w:rPr>
          <w:rFonts w:ascii="Times New Roman" w:cs="Times New Roman" w:eastAsia="Times New Roman" w:hAnsi="Times New Roman"/>
          <w:spacing w:val="-2"/>
          <w:sz w:val="24"/>
          <w:szCs w:val="24"/>
        </w:rPr>
        <w:t xml:space="preserve"> </w:t>
      </w:r>
      <w:r>
        <w:rPr>
          <w:rFonts w:ascii="Times New Roman" w:cs="Times New Roman" w:eastAsia="Times New Roman" w:hAnsi="Times New Roman"/>
          <w:spacing w:val="5"/>
          <w:sz w:val="24"/>
          <w:szCs w:val="24"/>
        </w:rPr>
        <w:t>s</w:t>
      </w:r>
      <w:r>
        <w:rPr>
          <w:rFonts w:ascii="Times New Roman" w:cs="Times New Roman" w:eastAsia="Times New Roman" w:hAnsi="Times New Roman"/>
          <w:sz w:val="24"/>
          <w:szCs w:val="24"/>
        </w:rPr>
        <w:t>t</w:t>
      </w:r>
      <w:r>
        <w:rPr>
          <w:rFonts w:ascii="Times New Roman" w:cs="Times New Roman" w:eastAsia="Times New Roman" w:hAnsi="Times New Roman"/>
          <w:spacing w:val="5"/>
          <w:sz w:val="24"/>
          <w:szCs w:val="24"/>
        </w:rPr>
        <w:t>u</w:t>
      </w:r>
      <w:r>
        <w:rPr>
          <w:rFonts w:ascii="Times New Roman" w:cs="Times New Roman" w:eastAsia="Times New Roman" w:hAnsi="Times New Roman"/>
          <w:sz w:val="24"/>
          <w:szCs w:val="24"/>
        </w:rPr>
        <w:t xml:space="preserve">dy </w:t>
      </w:r>
      <w:r>
        <w:rPr>
          <w:rFonts w:ascii="Times New Roman" w:cs="Times New Roman" w:eastAsia="Times New Roman" w:hAnsi="Times New Roman"/>
          <w:spacing w:val="-4"/>
          <w:sz w:val="24"/>
          <w:szCs w:val="24"/>
        </w:rPr>
        <w:t>i</w:t>
      </w:r>
      <w:r>
        <w:rPr>
          <w:rFonts w:ascii="Times New Roman" w:cs="Times New Roman" w:eastAsia="Times New Roman" w:hAnsi="Times New Roman"/>
          <w:sz w:val="24"/>
          <w:szCs w:val="24"/>
        </w:rPr>
        <w:t xml:space="preserve">s </w:t>
      </w:r>
      <w:r>
        <w:rPr>
          <w:rFonts w:ascii="Times New Roman" w:cs="Times New Roman" w:eastAsia="Times New Roman" w:hAnsi="Times New Roman"/>
          <w:spacing w:val="4"/>
          <w:sz w:val="24"/>
          <w:szCs w:val="24"/>
        </w:rPr>
        <w:t>e</w:t>
      </w:r>
      <w:r>
        <w:rPr>
          <w:rFonts w:ascii="Times New Roman" w:cs="Times New Roman" w:eastAsia="Times New Roman" w:hAnsi="Times New Roman"/>
          <w:spacing w:val="-5"/>
          <w:sz w:val="24"/>
          <w:szCs w:val="24"/>
        </w:rPr>
        <w:t>n</w:t>
      </w:r>
      <w:r>
        <w:rPr>
          <w:rFonts w:ascii="Times New Roman" w:cs="Times New Roman" w:eastAsia="Times New Roman" w:hAnsi="Times New Roman"/>
          <w:spacing w:val="10"/>
          <w:sz w:val="24"/>
          <w:szCs w:val="24"/>
        </w:rPr>
        <w:t>t</w:t>
      </w:r>
      <w:r>
        <w:rPr>
          <w:rFonts w:ascii="Times New Roman" w:cs="Times New Roman" w:eastAsia="Times New Roman" w:hAnsi="Times New Roman"/>
          <w:spacing w:val="-9"/>
          <w:sz w:val="24"/>
          <w:szCs w:val="24"/>
        </w:rPr>
        <w:t>i</w:t>
      </w:r>
      <w:r>
        <w:rPr>
          <w:rFonts w:ascii="Times New Roman" w:cs="Times New Roman" w:eastAsia="Times New Roman" w:hAnsi="Times New Roman"/>
          <w:spacing w:val="2"/>
          <w:sz w:val="24"/>
          <w:szCs w:val="24"/>
        </w:rPr>
        <w:t>r</w:t>
      </w:r>
      <w:r>
        <w:rPr>
          <w:rFonts w:ascii="Times New Roman" w:cs="Times New Roman" w:eastAsia="Times New Roman" w:hAnsi="Times New Roman"/>
          <w:spacing w:val="4"/>
          <w:sz w:val="24"/>
          <w:szCs w:val="24"/>
        </w:rPr>
        <w:t>e</w:t>
      </w:r>
      <w:r>
        <w:rPr>
          <w:rFonts w:ascii="Times New Roman" w:cs="Times New Roman" w:eastAsia="Times New Roman" w:hAnsi="Times New Roman"/>
          <w:spacing w:val="5"/>
          <w:sz w:val="24"/>
          <w:szCs w:val="24"/>
        </w:rPr>
        <w:t>l</w:t>
      </w:r>
      <w:r>
        <w:rPr>
          <w:rFonts w:ascii="Times New Roman" w:cs="Times New Roman" w:eastAsia="Times New Roman" w:hAnsi="Times New Roman"/>
          <w:sz w:val="24"/>
          <w:szCs w:val="24"/>
        </w:rPr>
        <w:t>y d</w:t>
      </w:r>
      <w:r>
        <w:rPr>
          <w:rFonts w:ascii="Times New Roman" w:cs="Times New Roman" w:eastAsia="Times New Roman" w:hAnsi="Times New Roman"/>
          <w:spacing w:val="-1"/>
          <w:sz w:val="24"/>
          <w:szCs w:val="24"/>
        </w:rPr>
        <w:t>e</w:t>
      </w:r>
      <w:r>
        <w:rPr>
          <w:rFonts w:ascii="Times New Roman" w:cs="Times New Roman" w:eastAsia="Times New Roman" w:hAnsi="Times New Roman"/>
          <w:spacing w:val="-5"/>
          <w:sz w:val="24"/>
          <w:szCs w:val="24"/>
        </w:rPr>
        <w:t>v</w:t>
      </w:r>
      <w:r>
        <w:rPr>
          <w:rFonts w:ascii="Times New Roman" w:cs="Times New Roman" w:eastAsia="Times New Roman" w:hAnsi="Times New Roman"/>
          <w:spacing w:val="5"/>
          <w:sz w:val="24"/>
          <w:szCs w:val="24"/>
        </w:rPr>
        <w:t>ot</w:t>
      </w:r>
      <w:r>
        <w:rPr>
          <w:rFonts w:ascii="Times New Roman" w:cs="Times New Roman" w:eastAsia="Times New Roman" w:hAnsi="Times New Roman"/>
          <w:spacing w:val="-1"/>
          <w:sz w:val="24"/>
          <w:szCs w:val="24"/>
        </w:rPr>
        <w:t>e</w:t>
      </w:r>
      <w:r>
        <w:rPr>
          <w:rFonts w:ascii="Times New Roman" w:cs="Times New Roman" w:eastAsia="Times New Roman" w:hAnsi="Times New Roman"/>
          <w:sz w:val="24"/>
          <w:szCs w:val="24"/>
        </w:rPr>
        <w:t>d to</w:t>
      </w:r>
      <w:r>
        <w:rPr>
          <w:rFonts w:ascii="Times New Roman" w:cs="Times New Roman" w:eastAsia="Times New Roman" w:hAnsi="Times New Roman"/>
          <w:spacing w:val="-1"/>
          <w:sz w:val="24"/>
          <w:szCs w:val="24"/>
        </w:rPr>
        <w:t xml:space="preserve"> assessing </w:t>
      </w:r>
      <w:r>
        <w:rPr>
          <w:rFonts w:ascii="Times New Roman" w:cs="Times New Roman" w:eastAsia="Times New Roman" w:hAnsi="Times New Roman"/>
          <w:spacing w:val="5"/>
          <w:sz w:val="24"/>
          <w:szCs w:val="24"/>
        </w:rPr>
        <w:t xml:space="preserve">taxpayers </w:t>
      </w:r>
      <w:r>
        <w:rPr>
          <w:rFonts w:ascii="Times New Roman" w:cs="Times New Roman" w:eastAsia="Times New Roman" w:hAnsi="Times New Roman"/>
          <w:spacing w:val="-5"/>
          <w:sz w:val="24"/>
          <w:szCs w:val="24"/>
        </w:rPr>
        <w:t>‘</w:t>
      </w:r>
      <w:r>
        <w:rPr>
          <w:rFonts w:ascii="Times New Roman" w:cs="Times New Roman" w:eastAsia="Times New Roman" w:hAnsi="Times New Roman"/>
          <w:spacing w:val="10"/>
          <w:sz w:val="24"/>
          <w:szCs w:val="24"/>
        </w:rPr>
        <w:t>v</w:t>
      </w:r>
      <w:r>
        <w:rPr>
          <w:rFonts w:ascii="Times New Roman" w:cs="Times New Roman" w:eastAsia="Times New Roman" w:hAnsi="Times New Roman"/>
          <w:spacing w:val="-9"/>
          <w:sz w:val="24"/>
          <w:szCs w:val="24"/>
        </w:rPr>
        <w:t>o</w:t>
      </w:r>
      <w:r>
        <w:rPr>
          <w:rFonts w:ascii="Times New Roman" w:cs="Times New Roman" w:eastAsia="Times New Roman" w:hAnsi="Times New Roman"/>
          <w:spacing w:val="5"/>
          <w:sz w:val="24"/>
          <w:szCs w:val="24"/>
        </w:rPr>
        <w:t>l</w:t>
      </w:r>
      <w:r>
        <w:rPr>
          <w:rFonts w:ascii="Times New Roman" w:cs="Times New Roman" w:eastAsia="Times New Roman" w:hAnsi="Times New Roman"/>
          <w:spacing w:val="-5"/>
          <w:sz w:val="24"/>
          <w:szCs w:val="24"/>
        </w:rPr>
        <w:t>u</w:t>
      </w:r>
      <w:r>
        <w:rPr>
          <w:rFonts w:ascii="Times New Roman" w:cs="Times New Roman" w:eastAsia="Times New Roman" w:hAnsi="Times New Roman"/>
          <w:spacing w:val="5"/>
          <w:sz w:val="24"/>
          <w:szCs w:val="24"/>
        </w:rPr>
        <w:t>n</w:t>
      </w:r>
      <w:r>
        <w:rPr>
          <w:rFonts w:ascii="Times New Roman" w:cs="Times New Roman" w:eastAsia="Times New Roman" w:hAnsi="Times New Roman"/>
          <w:spacing w:val="-1"/>
          <w:sz w:val="24"/>
          <w:szCs w:val="24"/>
        </w:rPr>
        <w:t>t</w:t>
      </w:r>
      <w:r>
        <w:rPr>
          <w:rFonts w:ascii="Times New Roman" w:cs="Times New Roman" w:eastAsia="Times New Roman" w:hAnsi="Times New Roman"/>
          <w:spacing w:val="2"/>
          <w:sz w:val="24"/>
          <w:szCs w:val="24"/>
        </w:rPr>
        <w:t>a</w:t>
      </w:r>
      <w:r>
        <w:rPr>
          <w:rFonts w:ascii="Times New Roman" w:cs="Times New Roman" w:eastAsia="Times New Roman" w:hAnsi="Times New Roman"/>
          <w:sz w:val="24"/>
          <w:szCs w:val="24"/>
        </w:rPr>
        <w:t xml:space="preserve">ry </w:t>
      </w:r>
      <w:r>
        <w:rPr>
          <w:rFonts w:ascii="Times New Roman" w:cs="Times New Roman" w:eastAsia="Times New Roman" w:hAnsi="Times New Roman"/>
          <w:spacing w:val="-1"/>
          <w:sz w:val="24"/>
          <w:szCs w:val="24"/>
        </w:rPr>
        <w:t>c</w:t>
      </w:r>
      <w:r>
        <w:rPr>
          <w:rFonts w:ascii="Times New Roman" w:cs="Times New Roman" w:eastAsia="Times New Roman" w:hAnsi="Times New Roman"/>
          <w:spacing w:val="10"/>
          <w:sz w:val="24"/>
          <w:szCs w:val="24"/>
        </w:rPr>
        <w:t>o</w:t>
      </w:r>
      <w:r>
        <w:rPr>
          <w:rFonts w:ascii="Times New Roman" w:cs="Times New Roman" w:eastAsia="Times New Roman" w:hAnsi="Times New Roman"/>
          <w:spacing w:val="-9"/>
          <w:sz w:val="24"/>
          <w:szCs w:val="24"/>
        </w:rPr>
        <w:t>m</w:t>
      </w:r>
      <w:r>
        <w:rPr>
          <w:rFonts w:ascii="Times New Roman" w:cs="Times New Roman" w:eastAsia="Times New Roman" w:hAnsi="Times New Roman"/>
          <w:spacing w:val="5"/>
          <w:sz w:val="24"/>
          <w:szCs w:val="24"/>
        </w:rPr>
        <w:t>p</w:t>
      </w:r>
      <w:r>
        <w:rPr>
          <w:rFonts w:ascii="Times New Roman" w:cs="Times New Roman" w:eastAsia="Times New Roman" w:hAnsi="Times New Roman"/>
          <w:sz w:val="24"/>
          <w:szCs w:val="24"/>
        </w:rPr>
        <w:t>l</w:t>
      </w:r>
      <w:r>
        <w:rPr>
          <w:rFonts w:ascii="Times New Roman" w:cs="Times New Roman" w:eastAsia="Times New Roman" w:hAnsi="Times New Roman"/>
          <w:spacing w:val="-4"/>
          <w:sz w:val="24"/>
          <w:szCs w:val="24"/>
        </w:rPr>
        <w:t>i</w:t>
      </w:r>
      <w:r>
        <w:rPr>
          <w:rFonts w:ascii="Times New Roman" w:cs="Times New Roman" w:eastAsia="Times New Roman" w:hAnsi="Times New Roman"/>
          <w:spacing w:val="4"/>
          <w:sz w:val="24"/>
          <w:szCs w:val="24"/>
        </w:rPr>
        <w:t>a</w:t>
      </w:r>
      <w:r>
        <w:rPr>
          <w:rFonts w:ascii="Times New Roman" w:cs="Times New Roman" w:eastAsia="Times New Roman" w:hAnsi="Times New Roman"/>
          <w:spacing w:val="-5"/>
          <w:sz w:val="24"/>
          <w:szCs w:val="24"/>
        </w:rPr>
        <w:t>n</w:t>
      </w:r>
      <w:r>
        <w:rPr>
          <w:rFonts w:ascii="Times New Roman" w:cs="Times New Roman" w:eastAsia="Times New Roman" w:hAnsi="Times New Roman"/>
          <w:spacing w:val="4"/>
          <w:sz w:val="24"/>
          <w:szCs w:val="24"/>
        </w:rPr>
        <w:t>c</w:t>
      </w:r>
      <w:r>
        <w:rPr>
          <w:rFonts w:ascii="Times New Roman" w:cs="Times New Roman" w:eastAsia="Times New Roman" w:hAnsi="Times New Roman"/>
          <w:sz w:val="24"/>
          <w:szCs w:val="24"/>
        </w:rPr>
        <w:t xml:space="preserve">e </w:t>
      </w:r>
      <w:r>
        <w:rPr>
          <w:rFonts w:ascii="Times New Roman" w:cs="Times New Roman" w:eastAsia="Times New Roman" w:hAnsi="Times New Roman"/>
          <w:spacing w:val="5"/>
          <w:sz w:val="24"/>
          <w:szCs w:val="24"/>
        </w:rPr>
        <w:t>w</w:t>
      </w:r>
      <w:r>
        <w:rPr>
          <w:rFonts w:ascii="Times New Roman" w:cs="Times New Roman" w:eastAsia="Times New Roman" w:hAnsi="Times New Roman"/>
          <w:spacing w:val="-9"/>
          <w:sz w:val="24"/>
          <w:szCs w:val="24"/>
        </w:rPr>
        <w:t>i</w:t>
      </w:r>
      <w:r>
        <w:rPr>
          <w:rFonts w:ascii="Times New Roman" w:cs="Times New Roman" w:eastAsia="Times New Roman" w:hAnsi="Times New Roman"/>
          <w:spacing w:val="5"/>
          <w:sz w:val="24"/>
          <w:szCs w:val="24"/>
        </w:rPr>
        <w:t>t</w:t>
      </w:r>
      <w:r>
        <w:rPr>
          <w:rFonts w:ascii="Times New Roman" w:cs="Times New Roman" w:eastAsia="Times New Roman" w:hAnsi="Times New Roman"/>
          <w:sz w:val="24"/>
          <w:szCs w:val="24"/>
        </w:rPr>
        <w:t xml:space="preserve">h </w:t>
      </w:r>
      <w:r>
        <w:rPr>
          <w:rFonts w:ascii="Times New Roman" w:cs="Times New Roman" w:eastAsia="Times New Roman" w:hAnsi="Times New Roman"/>
          <w:spacing w:val="5"/>
          <w:sz w:val="24"/>
          <w:szCs w:val="24"/>
        </w:rPr>
        <w:t>t</w:t>
      </w:r>
      <w:r>
        <w:rPr>
          <w:rFonts w:ascii="Times New Roman" w:cs="Times New Roman" w:eastAsia="Times New Roman" w:hAnsi="Times New Roman"/>
          <w:spacing w:val="-1"/>
          <w:sz w:val="24"/>
          <w:szCs w:val="24"/>
        </w:rPr>
        <w:t>a</w:t>
      </w:r>
      <w:r>
        <w:rPr>
          <w:rFonts w:ascii="Times New Roman" w:cs="Times New Roman" w:eastAsia="Times New Roman" w:hAnsi="Times New Roman"/>
          <w:sz w:val="24"/>
          <w:szCs w:val="24"/>
        </w:rPr>
        <w:t>x</w:t>
      </w:r>
      <w:r>
        <w:rPr>
          <w:rFonts w:ascii="Times New Roman" w:cs="Times New Roman" w:eastAsia="Times New Roman" w:hAnsi="Times New Roman"/>
          <w:spacing w:val="-4"/>
          <w:sz w:val="24"/>
          <w:szCs w:val="24"/>
        </w:rPr>
        <w:t xml:space="preserve"> </w:t>
      </w:r>
      <w:r>
        <w:rPr>
          <w:rFonts w:ascii="Times New Roman" w:cs="Times New Roman" w:eastAsia="Times New Roman" w:hAnsi="Times New Roman"/>
          <w:spacing w:val="-1"/>
          <w:sz w:val="24"/>
          <w:szCs w:val="24"/>
        </w:rPr>
        <w:t>l</w:t>
      </w:r>
      <w:r>
        <w:rPr>
          <w:rFonts w:ascii="Times New Roman" w:cs="Times New Roman" w:eastAsia="Times New Roman" w:hAnsi="Times New Roman"/>
          <w:sz w:val="24"/>
          <w:szCs w:val="24"/>
        </w:rPr>
        <w:t xml:space="preserve">aw. </w:t>
      </w:r>
      <w:r>
        <w:rPr>
          <w:rFonts w:ascii="Times New Roman" w:cs="Times New Roman" w:eastAsia="Times New Roman" w:hAnsi="Times New Roman"/>
          <w:spacing w:val="2"/>
          <w:sz w:val="24"/>
          <w:szCs w:val="24"/>
        </w:rPr>
        <w:t>T</w:t>
      </w:r>
      <w:r>
        <w:rPr>
          <w:rFonts w:ascii="Times New Roman" w:cs="Times New Roman" w:eastAsia="Times New Roman" w:hAnsi="Times New Roman"/>
          <w:sz w:val="24"/>
          <w:szCs w:val="24"/>
        </w:rPr>
        <w:t xml:space="preserve">he </w:t>
      </w:r>
      <w:r>
        <w:rPr>
          <w:rFonts w:ascii="Times New Roman" w:cs="Times New Roman" w:eastAsia="Times New Roman" w:hAnsi="Times New Roman"/>
          <w:spacing w:val="-4"/>
          <w:sz w:val="24"/>
          <w:szCs w:val="24"/>
        </w:rPr>
        <w:t>i</w:t>
      </w:r>
      <w:r>
        <w:rPr>
          <w:rFonts w:ascii="Times New Roman" w:cs="Times New Roman" w:eastAsia="Times New Roman" w:hAnsi="Times New Roman"/>
          <w:sz w:val="24"/>
          <w:szCs w:val="24"/>
        </w:rPr>
        <w:t>n</w:t>
      </w:r>
      <w:r>
        <w:rPr>
          <w:rFonts w:ascii="Times New Roman" w:cs="Times New Roman" w:eastAsia="Times New Roman" w:hAnsi="Times New Roman"/>
          <w:spacing w:val="-8"/>
          <w:sz w:val="24"/>
          <w:szCs w:val="24"/>
        </w:rPr>
        <w:t>f</w:t>
      </w:r>
      <w:r>
        <w:rPr>
          <w:rFonts w:ascii="Times New Roman" w:cs="Times New Roman" w:eastAsia="Times New Roman" w:hAnsi="Times New Roman"/>
          <w:spacing w:val="5"/>
          <w:sz w:val="24"/>
          <w:szCs w:val="24"/>
        </w:rPr>
        <w:t>o</w:t>
      </w:r>
      <w:r>
        <w:rPr>
          <w:rFonts w:ascii="Times New Roman" w:cs="Times New Roman" w:eastAsia="Times New Roman" w:hAnsi="Times New Roman"/>
          <w:spacing w:val="6"/>
          <w:sz w:val="24"/>
          <w:szCs w:val="24"/>
        </w:rPr>
        <w:t>r</w:t>
      </w:r>
      <w:r>
        <w:rPr>
          <w:rFonts w:ascii="Times New Roman" w:cs="Times New Roman" w:eastAsia="Times New Roman" w:hAnsi="Times New Roman"/>
          <w:spacing w:val="-4"/>
          <w:sz w:val="24"/>
          <w:szCs w:val="24"/>
        </w:rPr>
        <w:t>m</w:t>
      </w:r>
      <w:r>
        <w:rPr>
          <w:rFonts w:ascii="Times New Roman" w:cs="Times New Roman" w:eastAsia="Times New Roman" w:hAnsi="Times New Roman"/>
          <w:spacing w:val="-1"/>
          <w:sz w:val="24"/>
          <w:szCs w:val="24"/>
        </w:rPr>
        <w:t>a</w:t>
      </w:r>
      <w:r>
        <w:rPr>
          <w:rFonts w:ascii="Times New Roman" w:cs="Times New Roman" w:eastAsia="Times New Roman" w:hAnsi="Times New Roman"/>
          <w:spacing w:val="10"/>
          <w:sz w:val="24"/>
          <w:szCs w:val="24"/>
        </w:rPr>
        <w:t>t</w:t>
      </w:r>
      <w:r>
        <w:rPr>
          <w:rFonts w:ascii="Times New Roman" w:cs="Times New Roman" w:eastAsia="Times New Roman" w:hAnsi="Times New Roman"/>
          <w:spacing w:val="-9"/>
          <w:sz w:val="24"/>
          <w:szCs w:val="24"/>
        </w:rPr>
        <w:t>i</w:t>
      </w:r>
      <w:r>
        <w:rPr>
          <w:rFonts w:ascii="Times New Roman" w:cs="Times New Roman" w:eastAsia="Times New Roman" w:hAnsi="Times New Roman"/>
          <w:spacing w:val="5"/>
          <w:sz w:val="24"/>
          <w:szCs w:val="24"/>
        </w:rPr>
        <w:t>o</w:t>
      </w:r>
      <w:r>
        <w:rPr>
          <w:rFonts w:ascii="Times New Roman" w:cs="Times New Roman" w:eastAsia="Times New Roman" w:hAnsi="Times New Roman"/>
          <w:sz w:val="24"/>
          <w:szCs w:val="24"/>
        </w:rPr>
        <w:t xml:space="preserve">n </w:t>
      </w:r>
      <w:r>
        <w:rPr>
          <w:rFonts w:ascii="Times New Roman" w:cs="Times New Roman" w:eastAsia="Times New Roman" w:hAnsi="Times New Roman"/>
          <w:spacing w:val="-9"/>
          <w:sz w:val="24"/>
          <w:szCs w:val="24"/>
        </w:rPr>
        <w:t>y</w:t>
      </w:r>
      <w:r>
        <w:rPr>
          <w:rFonts w:ascii="Times New Roman" w:cs="Times New Roman" w:eastAsia="Times New Roman" w:hAnsi="Times New Roman"/>
          <w:spacing w:val="5"/>
          <w:sz w:val="24"/>
          <w:szCs w:val="24"/>
        </w:rPr>
        <w:t>o</w:t>
      </w:r>
      <w:r>
        <w:rPr>
          <w:rFonts w:ascii="Times New Roman" w:cs="Times New Roman" w:eastAsia="Times New Roman" w:hAnsi="Times New Roman"/>
          <w:sz w:val="24"/>
          <w:szCs w:val="24"/>
        </w:rPr>
        <w:t>u p</w:t>
      </w:r>
      <w:r>
        <w:rPr>
          <w:rFonts w:ascii="Times New Roman" w:cs="Times New Roman" w:eastAsia="Times New Roman" w:hAnsi="Times New Roman"/>
          <w:spacing w:val="2"/>
          <w:sz w:val="24"/>
          <w:szCs w:val="24"/>
        </w:rPr>
        <w:t>r</w:t>
      </w:r>
      <w:r>
        <w:rPr>
          <w:rFonts w:ascii="Times New Roman" w:cs="Times New Roman" w:eastAsia="Times New Roman" w:hAnsi="Times New Roman"/>
          <w:spacing w:val="5"/>
          <w:sz w:val="24"/>
          <w:szCs w:val="24"/>
        </w:rPr>
        <w:t>o</w:t>
      </w:r>
      <w:r>
        <w:rPr>
          <w:rFonts w:ascii="Times New Roman" w:cs="Times New Roman" w:eastAsia="Times New Roman" w:hAnsi="Times New Roman"/>
          <w:sz w:val="24"/>
          <w:szCs w:val="24"/>
        </w:rPr>
        <w:t>v</w:t>
      </w:r>
      <w:r>
        <w:rPr>
          <w:rFonts w:ascii="Times New Roman" w:cs="Times New Roman" w:eastAsia="Times New Roman" w:hAnsi="Times New Roman"/>
          <w:spacing w:val="-4"/>
          <w:sz w:val="24"/>
          <w:szCs w:val="24"/>
        </w:rPr>
        <w:t>i</w:t>
      </w:r>
      <w:r>
        <w:rPr>
          <w:rFonts w:ascii="Times New Roman" w:cs="Times New Roman" w:eastAsia="Times New Roman" w:hAnsi="Times New Roman"/>
          <w:sz w:val="24"/>
          <w:szCs w:val="24"/>
        </w:rPr>
        <w:t>de to</w:t>
      </w:r>
      <w:r>
        <w:rPr>
          <w:rFonts w:ascii="Times New Roman" w:cs="Times New Roman" w:eastAsia="Times New Roman" w:hAnsi="Times New Roman"/>
          <w:spacing w:val="-5"/>
          <w:sz w:val="24"/>
          <w:szCs w:val="24"/>
        </w:rPr>
        <w:t xml:space="preserve"> </w:t>
      </w:r>
      <w:r>
        <w:rPr>
          <w:rFonts w:ascii="Times New Roman" w:cs="Times New Roman" w:eastAsia="Times New Roman" w:hAnsi="Times New Roman"/>
          <w:sz w:val="24"/>
          <w:szCs w:val="24"/>
        </w:rPr>
        <w:t>be u</w:t>
      </w:r>
      <w:r>
        <w:rPr>
          <w:rFonts w:ascii="Times New Roman" w:cs="Times New Roman" w:eastAsia="Times New Roman" w:hAnsi="Times New Roman"/>
          <w:spacing w:val="-2"/>
          <w:sz w:val="24"/>
          <w:szCs w:val="24"/>
        </w:rPr>
        <w:t>s</w:t>
      </w:r>
      <w:r>
        <w:rPr>
          <w:rFonts w:ascii="Times New Roman" w:cs="Times New Roman" w:eastAsia="Times New Roman" w:hAnsi="Times New Roman"/>
          <w:spacing w:val="-1"/>
          <w:sz w:val="24"/>
          <w:szCs w:val="24"/>
        </w:rPr>
        <w:t>e</w:t>
      </w:r>
      <w:r>
        <w:rPr>
          <w:rFonts w:ascii="Times New Roman" w:cs="Times New Roman" w:eastAsia="Times New Roman" w:hAnsi="Times New Roman"/>
          <w:sz w:val="24"/>
          <w:szCs w:val="24"/>
        </w:rPr>
        <w:t xml:space="preserve">d </w:t>
      </w:r>
      <w:r>
        <w:rPr>
          <w:rFonts w:ascii="Times New Roman" w:cs="Times New Roman" w:eastAsia="Times New Roman" w:hAnsi="Times New Roman"/>
          <w:spacing w:val="-8"/>
          <w:sz w:val="24"/>
          <w:szCs w:val="24"/>
        </w:rPr>
        <w:t>f</w:t>
      </w:r>
      <w:r>
        <w:rPr>
          <w:rFonts w:ascii="Times New Roman" w:cs="Times New Roman" w:eastAsia="Times New Roman" w:hAnsi="Times New Roman"/>
          <w:spacing w:val="5"/>
          <w:sz w:val="24"/>
          <w:szCs w:val="24"/>
        </w:rPr>
        <w:t>o</w:t>
      </w:r>
      <w:r>
        <w:rPr>
          <w:rFonts w:ascii="Times New Roman" w:cs="Times New Roman" w:eastAsia="Times New Roman" w:hAnsi="Times New Roman"/>
          <w:sz w:val="24"/>
          <w:szCs w:val="24"/>
        </w:rPr>
        <w:t xml:space="preserve">r </w:t>
      </w:r>
      <w:r>
        <w:rPr>
          <w:rFonts w:ascii="Times New Roman" w:cs="Times New Roman" w:eastAsia="Times New Roman" w:hAnsi="Times New Roman"/>
          <w:spacing w:val="-1"/>
          <w:sz w:val="24"/>
          <w:szCs w:val="24"/>
        </w:rPr>
        <w:t>aca</w:t>
      </w:r>
      <w:r>
        <w:rPr>
          <w:rFonts w:ascii="Times New Roman" w:cs="Times New Roman" w:eastAsia="Times New Roman" w:hAnsi="Times New Roman"/>
          <w:sz w:val="24"/>
          <w:szCs w:val="24"/>
        </w:rPr>
        <w:t>d</w:t>
      </w:r>
      <w:r>
        <w:rPr>
          <w:rFonts w:ascii="Times New Roman" w:cs="Times New Roman" w:eastAsia="Times New Roman" w:hAnsi="Times New Roman"/>
          <w:spacing w:val="4"/>
          <w:sz w:val="24"/>
          <w:szCs w:val="24"/>
        </w:rPr>
        <w:t>e</w:t>
      </w:r>
      <w:r>
        <w:rPr>
          <w:rFonts w:ascii="Times New Roman" w:cs="Times New Roman" w:eastAsia="Times New Roman" w:hAnsi="Times New Roman"/>
          <w:spacing w:val="1"/>
          <w:sz w:val="24"/>
          <w:szCs w:val="24"/>
        </w:rPr>
        <w:t>m</w:t>
      </w:r>
      <w:r>
        <w:rPr>
          <w:rFonts w:ascii="Times New Roman" w:cs="Times New Roman" w:eastAsia="Times New Roman" w:hAnsi="Times New Roman"/>
          <w:spacing w:val="-4"/>
          <w:sz w:val="24"/>
          <w:szCs w:val="24"/>
        </w:rPr>
        <w:t>i</w:t>
      </w:r>
      <w:r>
        <w:rPr>
          <w:rFonts w:ascii="Times New Roman" w:cs="Times New Roman" w:eastAsia="Times New Roman" w:hAnsi="Times New Roman"/>
          <w:sz w:val="24"/>
          <w:szCs w:val="24"/>
        </w:rPr>
        <w:t>c pu</w:t>
      </w:r>
      <w:r>
        <w:rPr>
          <w:rFonts w:ascii="Times New Roman" w:cs="Times New Roman" w:eastAsia="Times New Roman" w:hAnsi="Times New Roman"/>
          <w:spacing w:val="2"/>
          <w:sz w:val="24"/>
          <w:szCs w:val="24"/>
        </w:rPr>
        <w:t>r</w:t>
      </w:r>
      <w:r>
        <w:rPr>
          <w:rFonts w:ascii="Times New Roman" w:cs="Times New Roman" w:eastAsia="Times New Roman" w:hAnsi="Times New Roman"/>
          <w:sz w:val="24"/>
          <w:szCs w:val="24"/>
        </w:rPr>
        <w:t>p</w:t>
      </w:r>
      <w:r>
        <w:rPr>
          <w:rFonts w:ascii="Times New Roman" w:cs="Times New Roman" w:eastAsia="Times New Roman" w:hAnsi="Times New Roman"/>
          <w:spacing w:val="5"/>
          <w:sz w:val="24"/>
          <w:szCs w:val="24"/>
        </w:rPr>
        <w:t>o</w:t>
      </w:r>
      <w:r>
        <w:rPr>
          <w:rFonts w:ascii="Times New Roman" w:cs="Times New Roman" w:eastAsia="Times New Roman" w:hAnsi="Times New Roman"/>
          <w:spacing w:val="-2"/>
          <w:sz w:val="24"/>
          <w:szCs w:val="24"/>
        </w:rPr>
        <w:t>s</w:t>
      </w:r>
      <w:r>
        <w:rPr>
          <w:rFonts w:ascii="Times New Roman" w:cs="Times New Roman" w:eastAsia="Times New Roman" w:hAnsi="Times New Roman"/>
          <w:sz w:val="24"/>
          <w:szCs w:val="24"/>
        </w:rPr>
        <w:t xml:space="preserve">e </w:t>
      </w:r>
      <w:r>
        <w:rPr>
          <w:rFonts w:ascii="Times New Roman" w:cs="Times New Roman" w:eastAsia="Times New Roman" w:hAnsi="Times New Roman"/>
          <w:spacing w:val="4"/>
          <w:sz w:val="24"/>
          <w:szCs w:val="24"/>
        </w:rPr>
        <w:t>a</w:t>
      </w:r>
      <w:r>
        <w:rPr>
          <w:rFonts w:ascii="Times New Roman" w:cs="Times New Roman" w:eastAsia="Times New Roman" w:hAnsi="Times New Roman"/>
          <w:spacing w:val="-5"/>
          <w:sz w:val="24"/>
          <w:szCs w:val="24"/>
        </w:rPr>
        <w:t>n</w:t>
      </w:r>
      <w:r>
        <w:rPr>
          <w:rFonts w:ascii="Times New Roman" w:cs="Times New Roman" w:eastAsia="Times New Roman" w:hAnsi="Times New Roman"/>
          <w:sz w:val="24"/>
          <w:szCs w:val="24"/>
        </w:rPr>
        <w:t xml:space="preserve">d </w:t>
      </w:r>
      <w:r>
        <w:rPr>
          <w:rFonts w:ascii="Times New Roman" w:cs="Times New Roman" w:eastAsia="Times New Roman" w:hAnsi="Times New Roman"/>
          <w:spacing w:val="5"/>
          <w:sz w:val="24"/>
          <w:szCs w:val="24"/>
        </w:rPr>
        <w:t>w</w:t>
      </w:r>
      <w:r>
        <w:rPr>
          <w:rFonts w:ascii="Times New Roman" w:cs="Times New Roman" w:eastAsia="Times New Roman" w:hAnsi="Times New Roman"/>
          <w:sz w:val="24"/>
          <w:szCs w:val="24"/>
        </w:rPr>
        <w:t xml:space="preserve">ill be </w:t>
      </w:r>
      <w:r>
        <w:rPr>
          <w:rFonts w:ascii="Times New Roman" w:cs="Times New Roman" w:eastAsia="Times New Roman" w:hAnsi="Times New Roman"/>
          <w:spacing w:val="-2"/>
          <w:sz w:val="24"/>
          <w:szCs w:val="24"/>
        </w:rPr>
        <w:t>s</w:t>
      </w:r>
      <w:r>
        <w:rPr>
          <w:rFonts w:ascii="Times New Roman" w:cs="Times New Roman" w:eastAsia="Times New Roman" w:hAnsi="Times New Roman"/>
          <w:spacing w:val="5"/>
          <w:sz w:val="24"/>
          <w:szCs w:val="24"/>
        </w:rPr>
        <w:t>t</w:t>
      </w:r>
      <w:r>
        <w:rPr>
          <w:rFonts w:ascii="Times New Roman" w:cs="Times New Roman" w:eastAsia="Times New Roman" w:hAnsi="Times New Roman"/>
          <w:spacing w:val="6"/>
          <w:sz w:val="24"/>
          <w:szCs w:val="24"/>
        </w:rPr>
        <w:t>r</w:t>
      </w:r>
      <w:r>
        <w:rPr>
          <w:rFonts w:ascii="Times New Roman" w:cs="Times New Roman" w:eastAsia="Times New Roman" w:hAnsi="Times New Roman"/>
          <w:spacing w:val="-9"/>
          <w:sz w:val="24"/>
          <w:szCs w:val="24"/>
        </w:rPr>
        <w:t>i</w:t>
      </w:r>
      <w:r>
        <w:rPr>
          <w:rFonts w:ascii="Times New Roman" w:cs="Times New Roman" w:eastAsia="Times New Roman" w:hAnsi="Times New Roman"/>
          <w:spacing w:val="4"/>
          <w:sz w:val="24"/>
          <w:szCs w:val="24"/>
        </w:rPr>
        <w:t>c</w:t>
      </w:r>
      <w:r>
        <w:rPr>
          <w:rFonts w:ascii="Times New Roman" w:cs="Times New Roman" w:eastAsia="Times New Roman" w:hAnsi="Times New Roman"/>
          <w:spacing w:val="5"/>
          <w:sz w:val="24"/>
          <w:szCs w:val="24"/>
        </w:rPr>
        <w:t>t</w:t>
      </w:r>
      <w:r>
        <w:rPr>
          <w:rFonts w:ascii="Times New Roman" w:cs="Times New Roman" w:eastAsia="Times New Roman" w:hAnsi="Times New Roman"/>
          <w:spacing w:val="-4"/>
          <w:sz w:val="24"/>
          <w:szCs w:val="24"/>
        </w:rPr>
        <w:t>l</w:t>
      </w:r>
      <w:r>
        <w:rPr>
          <w:rFonts w:ascii="Times New Roman" w:cs="Times New Roman" w:eastAsia="Times New Roman" w:hAnsi="Times New Roman"/>
          <w:sz w:val="24"/>
          <w:szCs w:val="24"/>
        </w:rPr>
        <w:t>y k</w:t>
      </w:r>
      <w:r>
        <w:rPr>
          <w:rFonts w:ascii="Times New Roman" w:cs="Times New Roman" w:eastAsia="Times New Roman" w:hAnsi="Times New Roman"/>
          <w:spacing w:val="-1"/>
          <w:sz w:val="24"/>
          <w:szCs w:val="24"/>
        </w:rPr>
        <w:t>e</w:t>
      </w:r>
      <w:r>
        <w:rPr>
          <w:rFonts w:ascii="Times New Roman" w:cs="Times New Roman" w:eastAsia="Times New Roman" w:hAnsi="Times New Roman"/>
          <w:sz w:val="24"/>
          <w:szCs w:val="24"/>
        </w:rPr>
        <w:t xml:space="preserve">pt </w:t>
      </w:r>
      <w:r>
        <w:rPr>
          <w:rFonts w:ascii="Times New Roman" w:cs="Times New Roman" w:eastAsia="Times New Roman" w:hAnsi="Times New Roman"/>
          <w:spacing w:val="-1"/>
          <w:sz w:val="24"/>
          <w:szCs w:val="24"/>
        </w:rPr>
        <w:t>c</w:t>
      </w:r>
      <w:r>
        <w:rPr>
          <w:rFonts w:ascii="Times New Roman" w:cs="Times New Roman" w:eastAsia="Times New Roman" w:hAnsi="Times New Roman"/>
          <w:spacing w:val="5"/>
          <w:sz w:val="24"/>
          <w:szCs w:val="24"/>
        </w:rPr>
        <w:t>o</w:t>
      </w:r>
      <w:r>
        <w:rPr>
          <w:rFonts w:ascii="Times New Roman" w:cs="Times New Roman" w:eastAsia="Times New Roman" w:hAnsi="Times New Roman"/>
          <w:sz w:val="24"/>
          <w:szCs w:val="24"/>
        </w:rPr>
        <w:t>n</w:t>
      </w:r>
      <w:r>
        <w:rPr>
          <w:rFonts w:ascii="Times New Roman" w:cs="Times New Roman" w:eastAsia="Times New Roman" w:hAnsi="Times New Roman"/>
          <w:spacing w:val="-3"/>
          <w:sz w:val="24"/>
          <w:szCs w:val="24"/>
        </w:rPr>
        <w:t>f</w:t>
      </w:r>
      <w:r>
        <w:rPr>
          <w:rFonts w:ascii="Times New Roman" w:cs="Times New Roman" w:eastAsia="Times New Roman" w:hAnsi="Times New Roman"/>
          <w:spacing w:val="-4"/>
          <w:sz w:val="24"/>
          <w:szCs w:val="24"/>
        </w:rPr>
        <w:t>i</w:t>
      </w:r>
      <w:r>
        <w:rPr>
          <w:rFonts w:ascii="Times New Roman" w:cs="Times New Roman" w:eastAsia="Times New Roman" w:hAnsi="Times New Roman"/>
          <w:sz w:val="24"/>
          <w:szCs w:val="24"/>
        </w:rPr>
        <w:t>d</w:t>
      </w:r>
      <w:r>
        <w:rPr>
          <w:rFonts w:ascii="Times New Roman" w:cs="Times New Roman" w:eastAsia="Times New Roman" w:hAnsi="Times New Roman"/>
          <w:spacing w:val="4"/>
          <w:sz w:val="24"/>
          <w:szCs w:val="24"/>
        </w:rPr>
        <w:t>e</w:t>
      </w:r>
      <w:r>
        <w:rPr>
          <w:rFonts w:ascii="Times New Roman" w:cs="Times New Roman" w:eastAsia="Times New Roman" w:hAnsi="Times New Roman"/>
          <w:spacing w:val="-5"/>
          <w:sz w:val="24"/>
          <w:szCs w:val="24"/>
        </w:rPr>
        <w:t>n</w:t>
      </w:r>
      <w:r>
        <w:rPr>
          <w:rFonts w:ascii="Times New Roman" w:cs="Times New Roman" w:eastAsia="Times New Roman" w:hAnsi="Times New Roman"/>
          <w:spacing w:val="10"/>
          <w:sz w:val="24"/>
          <w:szCs w:val="24"/>
        </w:rPr>
        <w:t>t</w:t>
      </w:r>
      <w:r>
        <w:rPr>
          <w:rFonts w:ascii="Times New Roman" w:cs="Times New Roman" w:eastAsia="Times New Roman" w:hAnsi="Times New Roman"/>
          <w:spacing w:val="-9"/>
          <w:sz w:val="24"/>
          <w:szCs w:val="24"/>
        </w:rPr>
        <w:t>i</w:t>
      </w:r>
      <w:r>
        <w:rPr>
          <w:rFonts w:ascii="Times New Roman" w:cs="Times New Roman" w:eastAsia="Times New Roman" w:hAnsi="Times New Roman"/>
          <w:spacing w:val="4"/>
          <w:sz w:val="24"/>
          <w:szCs w:val="24"/>
        </w:rPr>
        <w:t>a</w:t>
      </w:r>
      <w:r>
        <w:rPr>
          <w:rFonts w:ascii="Times New Roman" w:cs="Times New Roman" w:eastAsia="Times New Roman" w:hAnsi="Times New Roman"/>
          <w:spacing w:val="-4"/>
          <w:sz w:val="24"/>
          <w:szCs w:val="24"/>
        </w:rPr>
        <w:t>l</w:t>
      </w:r>
      <w:r>
        <w:rPr>
          <w:rFonts w:ascii="Times New Roman" w:cs="Times New Roman" w:eastAsia="Times New Roman" w:hAnsi="Times New Roman"/>
          <w:sz w:val="24"/>
          <w:szCs w:val="24"/>
        </w:rPr>
        <w:t xml:space="preserve">. </w:t>
      </w:r>
      <w:r>
        <w:rPr>
          <w:rFonts w:ascii="Times New Roman" w:cs="Times New Roman" w:eastAsia="Times New Roman" w:hAnsi="Times New Roman"/>
          <w:b/>
          <w:sz w:val="24"/>
          <w:szCs w:val="24"/>
        </w:rPr>
        <w:t xml:space="preserve">Zewudu Gudisa </w:t>
      </w:r>
      <w:r>
        <w:rPr>
          <w:rFonts w:ascii="Times New Roman" w:cs="Times New Roman" w:eastAsia="Times New Roman" w:hAnsi="Times New Roman"/>
          <w:spacing w:val="-4"/>
          <w:sz w:val="24"/>
          <w:szCs w:val="24"/>
        </w:rPr>
        <w:t>i</w:t>
      </w:r>
      <w:r>
        <w:rPr>
          <w:rFonts w:ascii="Times New Roman" w:cs="Times New Roman" w:eastAsia="Times New Roman" w:hAnsi="Times New Roman"/>
          <w:sz w:val="24"/>
          <w:szCs w:val="24"/>
        </w:rPr>
        <w:t>s d</w:t>
      </w:r>
      <w:r>
        <w:rPr>
          <w:rFonts w:ascii="Times New Roman" w:cs="Times New Roman" w:eastAsia="Times New Roman" w:hAnsi="Times New Roman"/>
          <w:spacing w:val="10"/>
          <w:sz w:val="24"/>
          <w:szCs w:val="24"/>
        </w:rPr>
        <w:t>o</w:t>
      </w:r>
      <w:r>
        <w:rPr>
          <w:rFonts w:ascii="Times New Roman" w:cs="Times New Roman" w:eastAsia="Times New Roman" w:hAnsi="Times New Roman"/>
          <w:spacing w:val="-4"/>
          <w:sz w:val="24"/>
          <w:szCs w:val="24"/>
        </w:rPr>
        <w:t>i</w:t>
      </w:r>
      <w:r>
        <w:rPr>
          <w:rFonts w:ascii="Times New Roman" w:cs="Times New Roman" w:eastAsia="Times New Roman" w:hAnsi="Times New Roman"/>
          <w:spacing w:val="-5"/>
          <w:sz w:val="24"/>
          <w:szCs w:val="24"/>
        </w:rPr>
        <w:t>n</w:t>
      </w:r>
      <w:r>
        <w:rPr>
          <w:rFonts w:ascii="Times New Roman" w:cs="Times New Roman" w:eastAsia="Times New Roman" w:hAnsi="Times New Roman"/>
          <w:sz w:val="24"/>
          <w:szCs w:val="24"/>
        </w:rPr>
        <w:t xml:space="preserve">g </w:t>
      </w:r>
      <w:r>
        <w:rPr>
          <w:rFonts w:ascii="Times New Roman" w:cs="Times New Roman" w:eastAsia="Times New Roman" w:hAnsi="Times New Roman"/>
          <w:spacing w:val="5"/>
          <w:sz w:val="24"/>
          <w:szCs w:val="24"/>
        </w:rPr>
        <w:t>t</w:t>
      </w:r>
      <w:r>
        <w:rPr>
          <w:rFonts w:ascii="Times New Roman" w:cs="Times New Roman" w:eastAsia="Times New Roman" w:hAnsi="Times New Roman"/>
          <w:spacing w:val="-5"/>
          <w:sz w:val="24"/>
          <w:szCs w:val="24"/>
        </w:rPr>
        <w:t>h</w:t>
      </w:r>
      <w:r>
        <w:rPr>
          <w:rFonts w:ascii="Times New Roman" w:cs="Times New Roman" w:eastAsia="Times New Roman" w:hAnsi="Times New Roman"/>
          <w:sz w:val="24"/>
          <w:szCs w:val="24"/>
        </w:rPr>
        <w:t xml:space="preserve">e </w:t>
      </w:r>
      <w:r>
        <w:rPr>
          <w:rFonts w:ascii="Times New Roman" w:cs="Times New Roman" w:eastAsia="Times New Roman" w:hAnsi="Times New Roman"/>
          <w:spacing w:val="2"/>
          <w:sz w:val="24"/>
          <w:szCs w:val="24"/>
        </w:rPr>
        <w:t>r</w:t>
      </w:r>
      <w:r>
        <w:rPr>
          <w:rFonts w:ascii="Times New Roman" w:cs="Times New Roman" w:eastAsia="Times New Roman" w:hAnsi="Times New Roman"/>
          <w:spacing w:val="-1"/>
          <w:sz w:val="24"/>
          <w:szCs w:val="24"/>
        </w:rPr>
        <w:t>e</w:t>
      </w:r>
      <w:r>
        <w:rPr>
          <w:rFonts w:ascii="Times New Roman" w:cs="Times New Roman" w:eastAsia="Times New Roman" w:hAnsi="Times New Roman"/>
          <w:spacing w:val="-2"/>
          <w:sz w:val="24"/>
          <w:szCs w:val="24"/>
        </w:rPr>
        <w:t>s</w:t>
      </w:r>
      <w:r>
        <w:rPr>
          <w:rFonts w:ascii="Times New Roman" w:cs="Times New Roman" w:eastAsia="Times New Roman" w:hAnsi="Times New Roman"/>
          <w:spacing w:val="-1"/>
          <w:sz w:val="24"/>
          <w:szCs w:val="24"/>
        </w:rPr>
        <w:t>ea</w:t>
      </w:r>
      <w:r>
        <w:rPr>
          <w:rFonts w:ascii="Times New Roman" w:cs="Times New Roman" w:eastAsia="Times New Roman" w:hAnsi="Times New Roman"/>
          <w:spacing w:val="2"/>
          <w:sz w:val="24"/>
          <w:szCs w:val="24"/>
        </w:rPr>
        <w:t>r</w:t>
      </w:r>
      <w:r>
        <w:rPr>
          <w:rFonts w:ascii="Times New Roman" w:cs="Times New Roman" w:eastAsia="Times New Roman" w:hAnsi="Times New Roman"/>
          <w:spacing w:val="4"/>
          <w:sz w:val="24"/>
          <w:szCs w:val="24"/>
        </w:rPr>
        <w:t>c</w:t>
      </w:r>
      <w:r>
        <w:rPr>
          <w:rFonts w:ascii="Times New Roman" w:cs="Times New Roman" w:eastAsia="Times New Roman" w:hAnsi="Times New Roman"/>
          <w:sz w:val="24"/>
          <w:szCs w:val="24"/>
        </w:rPr>
        <w:t xml:space="preserve">h </w:t>
      </w:r>
      <w:r>
        <w:rPr>
          <w:rFonts w:ascii="Times New Roman" w:cs="Times New Roman" w:eastAsia="Times New Roman" w:hAnsi="Times New Roman"/>
          <w:spacing w:val="5"/>
          <w:sz w:val="24"/>
          <w:szCs w:val="24"/>
        </w:rPr>
        <w:t>u</w:t>
      </w:r>
      <w:r>
        <w:rPr>
          <w:rFonts w:ascii="Times New Roman" w:cs="Times New Roman" w:eastAsia="Times New Roman" w:hAnsi="Times New Roman"/>
          <w:spacing w:val="-5"/>
          <w:sz w:val="24"/>
          <w:szCs w:val="24"/>
        </w:rPr>
        <w:t>n</w:t>
      </w:r>
      <w:r>
        <w:rPr>
          <w:rFonts w:ascii="Times New Roman" w:cs="Times New Roman" w:eastAsia="Times New Roman" w:hAnsi="Times New Roman"/>
          <w:sz w:val="24"/>
          <w:szCs w:val="24"/>
        </w:rPr>
        <w:t>d</w:t>
      </w:r>
      <w:r>
        <w:rPr>
          <w:rFonts w:ascii="Times New Roman" w:cs="Times New Roman" w:eastAsia="Times New Roman" w:hAnsi="Times New Roman"/>
          <w:spacing w:val="-1"/>
          <w:sz w:val="24"/>
          <w:szCs w:val="24"/>
        </w:rPr>
        <w:t>e</w:t>
      </w:r>
      <w:r>
        <w:rPr>
          <w:rFonts w:ascii="Times New Roman" w:cs="Times New Roman" w:eastAsia="Times New Roman" w:hAnsi="Times New Roman"/>
          <w:sz w:val="24"/>
          <w:szCs w:val="24"/>
        </w:rPr>
        <w:t xml:space="preserve">r </w:t>
      </w:r>
      <w:r>
        <w:rPr>
          <w:rFonts w:ascii="Times New Roman" w:cs="Times New Roman" w:eastAsia="Times New Roman" w:hAnsi="Times New Roman"/>
          <w:spacing w:val="7"/>
          <w:sz w:val="24"/>
          <w:szCs w:val="24"/>
        </w:rPr>
        <w:t>t</w:t>
      </w:r>
      <w:r>
        <w:rPr>
          <w:rFonts w:ascii="Times New Roman" w:cs="Times New Roman" w:eastAsia="Times New Roman" w:hAnsi="Times New Roman"/>
          <w:spacing w:val="-5"/>
          <w:sz w:val="24"/>
          <w:szCs w:val="24"/>
        </w:rPr>
        <w:t>h</w:t>
      </w:r>
      <w:r>
        <w:rPr>
          <w:rFonts w:ascii="Times New Roman" w:cs="Times New Roman" w:eastAsia="Times New Roman" w:hAnsi="Times New Roman"/>
          <w:sz w:val="24"/>
          <w:szCs w:val="24"/>
        </w:rPr>
        <w:t>e g</w:t>
      </w:r>
      <w:r>
        <w:rPr>
          <w:rFonts w:ascii="Times New Roman" w:cs="Times New Roman" w:eastAsia="Times New Roman" w:hAnsi="Times New Roman"/>
          <w:spacing w:val="5"/>
          <w:sz w:val="24"/>
          <w:szCs w:val="24"/>
        </w:rPr>
        <w:t>u</w:t>
      </w:r>
      <w:r>
        <w:rPr>
          <w:rFonts w:ascii="Times New Roman" w:cs="Times New Roman" w:eastAsia="Times New Roman" w:hAnsi="Times New Roman"/>
          <w:spacing w:val="-4"/>
          <w:sz w:val="24"/>
          <w:szCs w:val="24"/>
        </w:rPr>
        <w:t>i</w:t>
      </w:r>
      <w:r>
        <w:rPr>
          <w:rFonts w:ascii="Times New Roman" w:cs="Times New Roman" w:eastAsia="Times New Roman" w:hAnsi="Times New Roman"/>
          <w:sz w:val="24"/>
          <w:szCs w:val="24"/>
        </w:rPr>
        <w:t>d</w:t>
      </w:r>
      <w:r>
        <w:rPr>
          <w:rFonts w:ascii="Times New Roman" w:cs="Times New Roman" w:eastAsia="Times New Roman" w:hAnsi="Times New Roman"/>
          <w:spacing w:val="4"/>
          <w:sz w:val="24"/>
          <w:szCs w:val="24"/>
        </w:rPr>
        <w:t>a</w:t>
      </w:r>
      <w:r>
        <w:rPr>
          <w:rFonts w:ascii="Times New Roman" w:cs="Times New Roman" w:eastAsia="Times New Roman" w:hAnsi="Times New Roman"/>
          <w:spacing w:val="-5"/>
          <w:sz w:val="24"/>
          <w:szCs w:val="24"/>
        </w:rPr>
        <w:t>n</w:t>
      </w:r>
      <w:r>
        <w:rPr>
          <w:rFonts w:ascii="Times New Roman" w:cs="Times New Roman" w:eastAsia="Times New Roman" w:hAnsi="Times New Roman"/>
          <w:spacing w:val="-1"/>
          <w:sz w:val="24"/>
          <w:szCs w:val="24"/>
        </w:rPr>
        <w:t>c</w:t>
      </w:r>
      <w:r>
        <w:rPr>
          <w:rFonts w:ascii="Times New Roman" w:cs="Times New Roman" w:eastAsia="Times New Roman" w:hAnsi="Times New Roman"/>
          <w:sz w:val="24"/>
          <w:szCs w:val="24"/>
        </w:rPr>
        <w:t xml:space="preserve">e </w:t>
      </w:r>
      <w:r>
        <w:rPr>
          <w:rFonts w:ascii="Times New Roman" w:cs="Times New Roman" w:eastAsia="Times New Roman" w:hAnsi="Times New Roman"/>
          <w:spacing w:val="5"/>
          <w:sz w:val="24"/>
          <w:szCs w:val="24"/>
        </w:rPr>
        <w:t>o</w:t>
      </w:r>
      <w:r>
        <w:rPr>
          <w:rFonts w:ascii="Times New Roman" w:cs="Times New Roman" w:eastAsia="Times New Roman" w:hAnsi="Times New Roman"/>
          <w:sz w:val="24"/>
          <w:szCs w:val="24"/>
        </w:rPr>
        <w:t>f Ambo</w:t>
      </w:r>
      <w:r>
        <w:rPr>
          <w:rFonts w:ascii="Times New Roman" w:cs="Times New Roman" w:eastAsia="Times New Roman" w:hAnsi="Times New Roman"/>
          <w:spacing w:val="5"/>
          <w:sz w:val="24"/>
          <w:szCs w:val="24"/>
        </w:rPr>
        <w:t xml:space="preserve"> </w:t>
      </w:r>
      <w:r>
        <w:rPr>
          <w:rFonts w:ascii="Times New Roman" w:cs="Times New Roman" w:eastAsia="Times New Roman" w:hAnsi="Times New Roman"/>
          <w:sz w:val="24"/>
          <w:szCs w:val="24"/>
        </w:rPr>
        <w:t>U</w:t>
      </w:r>
      <w:r>
        <w:rPr>
          <w:rFonts w:ascii="Times New Roman" w:cs="Times New Roman" w:eastAsia="Times New Roman" w:hAnsi="Times New Roman"/>
          <w:spacing w:val="-4"/>
          <w:sz w:val="24"/>
          <w:szCs w:val="24"/>
        </w:rPr>
        <w:t>n</w:t>
      </w:r>
      <w:r>
        <w:rPr>
          <w:rFonts w:ascii="Times New Roman" w:cs="Times New Roman" w:eastAsia="Times New Roman" w:hAnsi="Times New Roman"/>
          <w:sz w:val="24"/>
          <w:szCs w:val="24"/>
        </w:rPr>
        <w:t>i</w:t>
      </w:r>
      <w:r>
        <w:rPr>
          <w:rFonts w:ascii="Times New Roman" w:cs="Times New Roman" w:eastAsia="Times New Roman" w:hAnsi="Times New Roman"/>
          <w:spacing w:val="-1"/>
          <w:sz w:val="24"/>
          <w:szCs w:val="24"/>
        </w:rPr>
        <w:t>v</w:t>
      </w:r>
      <w:r>
        <w:rPr>
          <w:rFonts w:ascii="Times New Roman" w:cs="Times New Roman" w:eastAsia="Times New Roman" w:hAnsi="Times New Roman"/>
          <w:spacing w:val="2"/>
          <w:sz w:val="24"/>
          <w:szCs w:val="24"/>
        </w:rPr>
        <w:t>e</w:t>
      </w:r>
      <w:r>
        <w:rPr>
          <w:rFonts w:ascii="Times New Roman" w:cs="Times New Roman" w:eastAsia="Times New Roman" w:hAnsi="Times New Roman"/>
          <w:spacing w:val="3"/>
          <w:sz w:val="24"/>
          <w:szCs w:val="24"/>
        </w:rPr>
        <w:t>r</w:t>
      </w:r>
      <w:r>
        <w:rPr>
          <w:rFonts w:ascii="Times New Roman" w:cs="Times New Roman" w:eastAsia="Times New Roman" w:hAnsi="Times New Roman"/>
          <w:spacing w:val="-9"/>
          <w:sz w:val="24"/>
          <w:szCs w:val="24"/>
        </w:rPr>
        <w:t>s</w:t>
      </w:r>
      <w:r>
        <w:rPr>
          <w:rFonts w:ascii="Times New Roman" w:cs="Times New Roman" w:eastAsia="Times New Roman" w:hAnsi="Times New Roman"/>
          <w:spacing w:val="10"/>
          <w:sz w:val="24"/>
          <w:szCs w:val="24"/>
        </w:rPr>
        <w:t>i</w:t>
      </w:r>
      <w:r>
        <w:rPr>
          <w:rFonts w:ascii="Times New Roman" w:cs="Times New Roman" w:eastAsia="Times New Roman" w:hAnsi="Times New Roman"/>
          <w:sz w:val="24"/>
          <w:szCs w:val="24"/>
        </w:rPr>
        <w:t xml:space="preserve">ty. </w:t>
      </w:r>
      <w:r>
        <w:rPr>
          <w:rFonts w:ascii="Times New Roman" w:cs="Times New Roman" w:eastAsia="Times New Roman" w:hAnsi="Times New Roman"/>
          <w:spacing w:val="2"/>
          <w:sz w:val="24"/>
          <w:szCs w:val="24"/>
        </w:rPr>
        <w:t>I</w:t>
      </w:r>
      <w:r>
        <w:rPr>
          <w:rFonts w:ascii="Times New Roman" w:cs="Times New Roman" w:eastAsia="Times New Roman" w:hAnsi="Times New Roman"/>
          <w:sz w:val="24"/>
          <w:szCs w:val="24"/>
        </w:rPr>
        <w:t>n</w:t>
      </w:r>
      <w:r>
        <w:rPr>
          <w:rFonts w:ascii="Times New Roman" w:cs="Times New Roman" w:eastAsia="Times New Roman" w:hAnsi="Times New Roman"/>
          <w:spacing w:val="-1"/>
          <w:sz w:val="24"/>
          <w:szCs w:val="24"/>
        </w:rPr>
        <w:t xml:space="preserve"> </w:t>
      </w:r>
      <w:r>
        <w:rPr>
          <w:rFonts w:ascii="Times New Roman" w:cs="Times New Roman" w:eastAsia="Times New Roman" w:hAnsi="Times New Roman"/>
          <w:spacing w:val="4"/>
          <w:sz w:val="24"/>
          <w:szCs w:val="24"/>
        </w:rPr>
        <w:t>c</w:t>
      </w:r>
      <w:r>
        <w:rPr>
          <w:rFonts w:ascii="Times New Roman" w:cs="Times New Roman" w:eastAsia="Times New Roman" w:hAnsi="Times New Roman"/>
          <w:spacing w:val="-2"/>
          <w:sz w:val="24"/>
          <w:szCs w:val="24"/>
        </w:rPr>
        <w:t>a</w:t>
      </w:r>
      <w:r>
        <w:rPr>
          <w:rFonts w:ascii="Times New Roman" w:cs="Times New Roman" w:eastAsia="Times New Roman" w:hAnsi="Times New Roman"/>
          <w:sz w:val="24"/>
          <w:szCs w:val="24"/>
        </w:rPr>
        <w:t xml:space="preserve">se </w:t>
      </w:r>
      <w:r>
        <w:rPr>
          <w:rFonts w:ascii="Times New Roman" w:cs="Times New Roman" w:eastAsia="Times New Roman" w:hAnsi="Times New Roman"/>
          <w:spacing w:val="-9"/>
          <w:sz w:val="24"/>
          <w:szCs w:val="24"/>
        </w:rPr>
        <w:t>y</w:t>
      </w:r>
      <w:r>
        <w:rPr>
          <w:rFonts w:ascii="Times New Roman" w:cs="Times New Roman" w:eastAsia="Times New Roman" w:hAnsi="Times New Roman"/>
          <w:spacing w:val="5"/>
          <w:sz w:val="24"/>
          <w:szCs w:val="24"/>
        </w:rPr>
        <w:t>o</w:t>
      </w:r>
      <w:r>
        <w:rPr>
          <w:rFonts w:ascii="Times New Roman" w:cs="Times New Roman" w:eastAsia="Times New Roman" w:hAnsi="Times New Roman"/>
          <w:sz w:val="24"/>
          <w:szCs w:val="24"/>
        </w:rPr>
        <w:t>u w</w:t>
      </w:r>
      <w:r>
        <w:rPr>
          <w:rFonts w:ascii="Times New Roman" w:cs="Times New Roman" w:eastAsia="Times New Roman" w:hAnsi="Times New Roman"/>
          <w:spacing w:val="4"/>
          <w:sz w:val="24"/>
          <w:szCs w:val="24"/>
        </w:rPr>
        <w:t>a</w:t>
      </w:r>
      <w:r>
        <w:rPr>
          <w:rFonts w:ascii="Times New Roman" w:cs="Times New Roman" w:eastAsia="Times New Roman" w:hAnsi="Times New Roman"/>
          <w:spacing w:val="-5"/>
          <w:sz w:val="24"/>
          <w:szCs w:val="24"/>
        </w:rPr>
        <w:t>n</w:t>
      </w:r>
      <w:r>
        <w:rPr>
          <w:rFonts w:ascii="Times New Roman" w:cs="Times New Roman" w:eastAsia="Times New Roman" w:hAnsi="Times New Roman"/>
          <w:sz w:val="24"/>
          <w:szCs w:val="24"/>
        </w:rPr>
        <w:t xml:space="preserve">t to </w:t>
      </w:r>
      <w:r>
        <w:rPr>
          <w:rFonts w:ascii="Times New Roman" w:cs="Times New Roman" w:eastAsia="Times New Roman" w:hAnsi="Times New Roman"/>
          <w:spacing w:val="-1"/>
          <w:sz w:val="24"/>
          <w:szCs w:val="24"/>
        </w:rPr>
        <w:t>c</w:t>
      </w:r>
      <w:r>
        <w:rPr>
          <w:rFonts w:ascii="Times New Roman" w:cs="Times New Roman" w:eastAsia="Times New Roman" w:hAnsi="Times New Roman"/>
          <w:spacing w:val="5"/>
          <w:sz w:val="24"/>
          <w:szCs w:val="24"/>
        </w:rPr>
        <w:t>o</w:t>
      </w:r>
      <w:r>
        <w:rPr>
          <w:rFonts w:ascii="Times New Roman" w:cs="Times New Roman" w:eastAsia="Times New Roman" w:hAnsi="Times New Roman"/>
          <w:spacing w:val="-5"/>
          <w:sz w:val="24"/>
          <w:szCs w:val="24"/>
        </w:rPr>
        <w:t>n</w:t>
      </w:r>
      <w:r>
        <w:rPr>
          <w:rFonts w:ascii="Times New Roman" w:cs="Times New Roman" w:eastAsia="Times New Roman" w:hAnsi="Times New Roman"/>
          <w:spacing w:val="5"/>
          <w:sz w:val="24"/>
          <w:szCs w:val="24"/>
        </w:rPr>
        <w:t>t</w:t>
      </w:r>
      <w:r>
        <w:rPr>
          <w:rFonts w:ascii="Times New Roman" w:cs="Times New Roman" w:eastAsia="Times New Roman" w:hAnsi="Times New Roman"/>
          <w:spacing w:val="-1"/>
          <w:sz w:val="24"/>
          <w:szCs w:val="24"/>
        </w:rPr>
        <w:t>a</w:t>
      </w:r>
      <w:r>
        <w:rPr>
          <w:rFonts w:ascii="Times New Roman" w:cs="Times New Roman" w:eastAsia="Times New Roman" w:hAnsi="Times New Roman"/>
          <w:spacing w:val="-6"/>
          <w:sz w:val="24"/>
          <w:szCs w:val="24"/>
        </w:rPr>
        <w:t>c</w:t>
      </w:r>
      <w:r>
        <w:rPr>
          <w:rFonts w:ascii="Times New Roman" w:cs="Times New Roman" w:eastAsia="Times New Roman" w:hAnsi="Times New Roman"/>
          <w:sz w:val="24"/>
          <w:szCs w:val="24"/>
        </w:rPr>
        <w:t xml:space="preserve">t </w:t>
      </w:r>
      <w:r>
        <w:rPr>
          <w:rFonts w:ascii="Times New Roman" w:cs="Times New Roman" w:eastAsia="Times New Roman" w:hAnsi="Times New Roman"/>
          <w:spacing w:val="-4"/>
          <w:sz w:val="24"/>
          <w:szCs w:val="24"/>
        </w:rPr>
        <w:t>him</w:t>
      </w:r>
      <w:r>
        <w:rPr>
          <w:rFonts w:ascii="Times New Roman" w:cs="Times New Roman" w:eastAsia="Times New Roman" w:hAnsi="Times New Roman"/>
          <w:sz w:val="24"/>
          <w:szCs w:val="24"/>
        </w:rPr>
        <w:t xml:space="preserve">, </w:t>
      </w:r>
      <w:r>
        <w:rPr>
          <w:rFonts w:ascii="Times New Roman" w:cs="Times New Roman" w:eastAsia="Times New Roman" w:hAnsi="Times New Roman"/>
          <w:b/>
          <w:sz w:val="24"/>
          <w:szCs w:val="24"/>
        </w:rPr>
        <w:t xml:space="preserve">Zewudu Gudisa </w:t>
      </w:r>
      <w:r>
        <w:rPr>
          <w:rFonts w:ascii="Times New Roman" w:cs="Times New Roman" w:eastAsia="Times New Roman" w:hAnsi="Times New Roman"/>
          <w:spacing w:val="-1"/>
          <w:sz w:val="24"/>
          <w:szCs w:val="24"/>
        </w:rPr>
        <w:t>ca</w:t>
      </w:r>
      <w:r>
        <w:rPr>
          <w:rFonts w:ascii="Times New Roman" w:cs="Times New Roman" w:eastAsia="Times New Roman" w:hAnsi="Times New Roman"/>
          <w:sz w:val="24"/>
          <w:szCs w:val="24"/>
        </w:rPr>
        <w:t xml:space="preserve">n </w:t>
      </w:r>
      <w:r>
        <w:rPr>
          <w:rFonts w:ascii="Times New Roman" w:cs="Times New Roman" w:eastAsia="Times New Roman" w:hAnsi="Times New Roman"/>
          <w:spacing w:val="-5"/>
          <w:sz w:val="24"/>
          <w:szCs w:val="24"/>
        </w:rPr>
        <w:t>b</w:t>
      </w:r>
      <w:r>
        <w:rPr>
          <w:rFonts w:ascii="Times New Roman" w:cs="Times New Roman" w:eastAsia="Times New Roman" w:hAnsi="Times New Roman"/>
          <w:sz w:val="24"/>
          <w:szCs w:val="24"/>
        </w:rPr>
        <w:t xml:space="preserve">e </w:t>
      </w:r>
      <w:r>
        <w:rPr>
          <w:rFonts w:ascii="Times New Roman" w:cs="Times New Roman" w:eastAsia="Times New Roman" w:hAnsi="Times New Roman"/>
          <w:spacing w:val="2"/>
          <w:sz w:val="24"/>
          <w:szCs w:val="24"/>
        </w:rPr>
        <w:t>r</w:t>
      </w:r>
      <w:r>
        <w:rPr>
          <w:rFonts w:ascii="Times New Roman" w:cs="Times New Roman" w:eastAsia="Times New Roman" w:hAnsi="Times New Roman"/>
          <w:spacing w:val="-1"/>
          <w:sz w:val="24"/>
          <w:szCs w:val="24"/>
        </w:rPr>
        <w:t>ea</w:t>
      </w:r>
      <w:r>
        <w:rPr>
          <w:rFonts w:ascii="Times New Roman" w:cs="Times New Roman" w:eastAsia="Times New Roman" w:hAnsi="Times New Roman"/>
          <w:spacing w:val="4"/>
          <w:sz w:val="24"/>
          <w:szCs w:val="24"/>
        </w:rPr>
        <w:t>c</w:t>
      </w:r>
      <w:r>
        <w:rPr>
          <w:rFonts w:ascii="Times New Roman" w:cs="Times New Roman" w:eastAsia="Times New Roman" w:hAnsi="Times New Roman"/>
          <w:spacing w:val="-5"/>
          <w:sz w:val="24"/>
          <w:szCs w:val="24"/>
        </w:rPr>
        <w:t>h</w:t>
      </w:r>
      <w:r>
        <w:rPr>
          <w:rFonts w:ascii="Times New Roman" w:cs="Times New Roman" w:eastAsia="Times New Roman" w:hAnsi="Times New Roman"/>
          <w:spacing w:val="-1"/>
          <w:sz w:val="24"/>
          <w:szCs w:val="24"/>
        </w:rPr>
        <w:t>e</w:t>
      </w:r>
      <w:r>
        <w:rPr>
          <w:rFonts w:ascii="Times New Roman" w:cs="Times New Roman" w:eastAsia="Times New Roman" w:hAnsi="Times New Roman"/>
          <w:sz w:val="24"/>
          <w:szCs w:val="24"/>
        </w:rPr>
        <w:t>d</w:t>
      </w:r>
      <w:r>
        <w:rPr>
          <w:rFonts w:ascii="Times New Roman" w:cs="Times New Roman" w:eastAsia="Times New Roman" w:hAnsi="Times New Roman"/>
          <w:spacing w:val="-1"/>
          <w:sz w:val="24"/>
          <w:szCs w:val="24"/>
        </w:rPr>
        <w:t xml:space="preserve"> a</w:t>
      </w:r>
      <w:r>
        <w:rPr>
          <w:rFonts w:ascii="Times New Roman" w:cs="Times New Roman" w:eastAsia="Times New Roman" w:hAnsi="Times New Roman"/>
          <w:sz w:val="24"/>
          <w:szCs w:val="24"/>
        </w:rPr>
        <w:t xml:space="preserve">t 0910097127 </w:t>
      </w:r>
      <w:r>
        <w:rPr>
          <w:rFonts w:ascii="Times New Roman" w:cs="Times New Roman" w:eastAsia="Times New Roman" w:hAnsi="Times New Roman"/>
          <w:spacing w:val="-9"/>
          <w:sz w:val="24"/>
          <w:szCs w:val="24"/>
        </w:rPr>
        <w:t>m</w:t>
      </w:r>
      <w:r>
        <w:rPr>
          <w:rFonts w:ascii="Times New Roman" w:cs="Times New Roman" w:eastAsia="Times New Roman" w:hAnsi="Times New Roman"/>
          <w:spacing w:val="5"/>
          <w:sz w:val="24"/>
          <w:szCs w:val="24"/>
        </w:rPr>
        <w:t>o</w:t>
      </w:r>
      <w:r>
        <w:rPr>
          <w:rFonts w:ascii="Times New Roman" w:cs="Times New Roman" w:eastAsia="Times New Roman" w:hAnsi="Times New Roman"/>
          <w:sz w:val="24"/>
          <w:szCs w:val="24"/>
        </w:rPr>
        <w:t>bi</w:t>
      </w:r>
      <w:r>
        <w:rPr>
          <w:rFonts w:ascii="Times New Roman" w:cs="Times New Roman" w:eastAsia="Times New Roman" w:hAnsi="Times New Roman"/>
          <w:spacing w:val="-4"/>
          <w:sz w:val="24"/>
          <w:szCs w:val="24"/>
        </w:rPr>
        <w:t>l</w:t>
      </w:r>
      <w:r>
        <w:rPr>
          <w:rFonts w:ascii="Times New Roman" w:cs="Times New Roman" w:eastAsia="Times New Roman" w:hAnsi="Times New Roman"/>
          <w:sz w:val="24"/>
          <w:szCs w:val="24"/>
        </w:rPr>
        <w:t>e</w:t>
      </w:r>
      <w:r>
        <w:rPr>
          <w:rFonts w:ascii="Times New Roman" w:cs="Times New Roman" w:eastAsia="Times New Roman" w:hAnsi="Times New Roman"/>
          <w:spacing w:val="-5"/>
          <w:sz w:val="24"/>
          <w:szCs w:val="24"/>
        </w:rPr>
        <w:t xml:space="preserve"> </w:t>
      </w:r>
      <w:r>
        <w:rPr>
          <w:rFonts w:ascii="Times New Roman" w:cs="Times New Roman" w:eastAsia="Times New Roman" w:hAnsi="Times New Roman"/>
          <w:spacing w:val="5"/>
          <w:sz w:val="24"/>
          <w:szCs w:val="24"/>
        </w:rPr>
        <w:t>n</w:t>
      </w:r>
      <w:r>
        <w:rPr>
          <w:rFonts w:ascii="Times New Roman" w:cs="Times New Roman" w:eastAsia="Times New Roman" w:hAnsi="Times New Roman"/>
          <w:spacing w:val="-4"/>
          <w:sz w:val="24"/>
          <w:szCs w:val="24"/>
        </w:rPr>
        <w:t>u</w:t>
      </w:r>
      <w:r>
        <w:rPr>
          <w:rFonts w:ascii="Times New Roman" w:cs="Times New Roman" w:eastAsia="Times New Roman" w:hAnsi="Times New Roman"/>
          <w:sz w:val="24"/>
          <w:szCs w:val="24"/>
        </w:rPr>
        <w:t>m</w:t>
      </w:r>
      <w:r>
        <w:rPr>
          <w:rFonts w:ascii="Times New Roman" w:cs="Times New Roman" w:eastAsia="Times New Roman" w:hAnsi="Times New Roman"/>
          <w:spacing w:val="-1"/>
          <w:sz w:val="24"/>
          <w:szCs w:val="24"/>
        </w:rPr>
        <w:t>b</w:t>
      </w:r>
      <w:r>
        <w:rPr>
          <w:rFonts w:ascii="Times New Roman" w:cs="Times New Roman" w:eastAsia="Times New Roman" w:hAnsi="Times New Roman"/>
          <w:spacing w:val="2"/>
          <w:sz w:val="24"/>
          <w:szCs w:val="24"/>
        </w:rPr>
        <w:t>ers</w:t>
      </w:r>
      <w:r>
        <w:rPr>
          <w:rFonts w:ascii="Times New Roman" w:cs="Times New Roman" w:eastAsia="Times New Roman" w:hAnsi="Times New Roman"/>
          <w:sz w:val="24"/>
          <w:szCs w:val="24"/>
        </w:rPr>
        <w:t>.</w:t>
      </w:r>
    </w:p>
    <w:p>
      <w:pPr>
        <w:pStyle w:val="style0"/>
        <w:spacing w:before="16" w:after="0" w:lineRule="auto" w:line="360"/>
        <w:jc w:val="both"/>
        <w:rPr>
          <w:rFonts w:ascii="Times New Roman" w:cs="Times New Roman" w:eastAsia="Times New Roman" w:hAnsi="Times New Roman"/>
          <w:sz w:val="20"/>
          <w:szCs w:val="20"/>
        </w:rPr>
      </w:pPr>
    </w:p>
    <w:p>
      <w:pPr>
        <w:pStyle w:val="style0"/>
        <w:spacing w:after="0" w:lineRule="auto" w:line="360"/>
        <w:ind w:left="119" w:right="90"/>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K</w:t>
      </w:r>
      <w:r>
        <w:rPr>
          <w:rFonts w:ascii="Times New Roman" w:cs="Times New Roman" w:eastAsia="Times New Roman" w:hAnsi="Times New Roman"/>
          <w:spacing w:val="-4"/>
          <w:sz w:val="24"/>
          <w:szCs w:val="24"/>
        </w:rPr>
        <w:t>i</w:t>
      </w:r>
      <w:r>
        <w:rPr>
          <w:rFonts w:ascii="Times New Roman" w:cs="Times New Roman" w:eastAsia="Times New Roman" w:hAnsi="Times New Roman"/>
          <w:sz w:val="24"/>
          <w:szCs w:val="24"/>
        </w:rPr>
        <w:t>n</w:t>
      </w:r>
      <w:r>
        <w:rPr>
          <w:rFonts w:ascii="Times New Roman" w:cs="Times New Roman" w:eastAsia="Times New Roman" w:hAnsi="Times New Roman"/>
          <w:spacing w:val="5"/>
          <w:sz w:val="24"/>
          <w:szCs w:val="24"/>
        </w:rPr>
        <w:t>d</w:t>
      </w:r>
      <w:r>
        <w:rPr>
          <w:rFonts w:ascii="Times New Roman" w:cs="Times New Roman" w:eastAsia="Times New Roman" w:hAnsi="Times New Roman"/>
          <w:sz w:val="24"/>
          <w:szCs w:val="24"/>
        </w:rPr>
        <w:t xml:space="preserve">ly </w:t>
      </w:r>
      <w:r>
        <w:rPr>
          <w:rFonts w:ascii="Times New Roman" w:cs="Times New Roman" w:eastAsia="Times New Roman" w:hAnsi="Times New Roman"/>
          <w:spacing w:val="2"/>
          <w:sz w:val="24"/>
          <w:szCs w:val="24"/>
        </w:rPr>
        <w:t>r</w:t>
      </w:r>
      <w:r>
        <w:rPr>
          <w:rFonts w:ascii="Times New Roman" w:cs="Times New Roman" w:eastAsia="Times New Roman" w:hAnsi="Times New Roman"/>
          <w:spacing w:val="-1"/>
          <w:sz w:val="24"/>
          <w:szCs w:val="24"/>
        </w:rPr>
        <w:t>e</w:t>
      </w:r>
      <w:r>
        <w:rPr>
          <w:rFonts w:ascii="Times New Roman" w:cs="Times New Roman" w:eastAsia="Times New Roman" w:hAnsi="Times New Roman"/>
          <w:sz w:val="24"/>
          <w:szCs w:val="24"/>
        </w:rPr>
        <w:t>qu</w:t>
      </w:r>
      <w:r>
        <w:rPr>
          <w:rFonts w:ascii="Times New Roman" w:cs="Times New Roman" w:eastAsia="Times New Roman" w:hAnsi="Times New Roman"/>
          <w:spacing w:val="-1"/>
          <w:sz w:val="24"/>
          <w:szCs w:val="24"/>
        </w:rPr>
        <w:t>e</w:t>
      </w:r>
      <w:r>
        <w:rPr>
          <w:rFonts w:ascii="Times New Roman" w:cs="Times New Roman" w:eastAsia="Times New Roman" w:hAnsi="Times New Roman"/>
          <w:spacing w:val="-2"/>
          <w:sz w:val="24"/>
          <w:szCs w:val="24"/>
        </w:rPr>
        <w:t>s</w:t>
      </w:r>
      <w:r>
        <w:rPr>
          <w:rFonts w:ascii="Times New Roman" w:cs="Times New Roman" w:eastAsia="Times New Roman" w:hAnsi="Times New Roman"/>
          <w:spacing w:val="10"/>
          <w:sz w:val="24"/>
          <w:szCs w:val="24"/>
        </w:rPr>
        <w:t>t</w:t>
      </w:r>
      <w:r>
        <w:rPr>
          <w:rFonts w:ascii="Times New Roman" w:cs="Times New Roman" w:eastAsia="Times New Roman" w:hAnsi="Times New Roman"/>
          <w:spacing w:val="-4"/>
          <w:sz w:val="24"/>
          <w:szCs w:val="24"/>
        </w:rPr>
        <w:t>i</w:t>
      </w:r>
      <w:r>
        <w:rPr>
          <w:rFonts w:ascii="Times New Roman" w:cs="Times New Roman" w:eastAsia="Times New Roman" w:hAnsi="Times New Roman"/>
          <w:spacing w:val="-5"/>
          <w:sz w:val="24"/>
          <w:szCs w:val="24"/>
        </w:rPr>
        <w:t>n</w:t>
      </w:r>
      <w:r>
        <w:rPr>
          <w:rFonts w:ascii="Times New Roman" w:cs="Times New Roman" w:eastAsia="Times New Roman" w:hAnsi="Times New Roman"/>
          <w:sz w:val="24"/>
          <w:szCs w:val="24"/>
        </w:rPr>
        <w:t xml:space="preserve">g </w:t>
      </w:r>
      <w:r>
        <w:rPr>
          <w:rFonts w:ascii="Times New Roman" w:cs="Times New Roman" w:eastAsia="Times New Roman" w:hAnsi="Times New Roman"/>
          <w:spacing w:val="-9"/>
          <w:sz w:val="24"/>
          <w:szCs w:val="24"/>
        </w:rPr>
        <w:t>y</w:t>
      </w:r>
      <w:r>
        <w:rPr>
          <w:rFonts w:ascii="Times New Roman" w:cs="Times New Roman" w:eastAsia="Times New Roman" w:hAnsi="Times New Roman"/>
          <w:spacing w:val="5"/>
          <w:sz w:val="24"/>
          <w:szCs w:val="24"/>
        </w:rPr>
        <w:t>o</w:t>
      </w:r>
      <w:r>
        <w:rPr>
          <w:rFonts w:ascii="Times New Roman" w:cs="Times New Roman" w:eastAsia="Times New Roman" w:hAnsi="Times New Roman"/>
          <w:sz w:val="24"/>
          <w:szCs w:val="24"/>
        </w:rPr>
        <w:t>u</w:t>
      </w:r>
      <w:r>
        <w:rPr>
          <w:rFonts w:ascii="Times New Roman" w:cs="Times New Roman" w:eastAsia="Times New Roman" w:hAnsi="Times New Roman"/>
          <w:spacing w:val="5"/>
          <w:sz w:val="24"/>
          <w:szCs w:val="24"/>
        </w:rPr>
        <w:t xml:space="preserve"> </w:t>
      </w:r>
      <w:r>
        <w:rPr>
          <w:rFonts w:ascii="Times New Roman" w:cs="Times New Roman" w:eastAsia="Times New Roman" w:hAnsi="Times New Roman"/>
          <w:sz w:val="24"/>
          <w:szCs w:val="24"/>
        </w:rPr>
        <w:t>to g</w:t>
      </w:r>
      <w:r>
        <w:rPr>
          <w:rFonts w:ascii="Times New Roman" w:cs="Times New Roman" w:eastAsia="Times New Roman" w:hAnsi="Times New Roman"/>
          <w:spacing w:val="-4"/>
          <w:sz w:val="24"/>
          <w:szCs w:val="24"/>
        </w:rPr>
        <w:t>i</w:t>
      </w:r>
      <w:r>
        <w:rPr>
          <w:rFonts w:ascii="Times New Roman" w:cs="Times New Roman" w:eastAsia="Times New Roman" w:hAnsi="Times New Roman"/>
          <w:spacing w:val="-5"/>
          <w:sz w:val="24"/>
          <w:szCs w:val="24"/>
        </w:rPr>
        <w:t>v</w:t>
      </w:r>
      <w:r>
        <w:rPr>
          <w:rFonts w:ascii="Times New Roman" w:cs="Times New Roman" w:eastAsia="Times New Roman" w:hAnsi="Times New Roman"/>
          <w:sz w:val="24"/>
          <w:szCs w:val="24"/>
        </w:rPr>
        <w:t>e g</w:t>
      </w:r>
      <w:r>
        <w:rPr>
          <w:rFonts w:ascii="Times New Roman" w:cs="Times New Roman" w:eastAsia="Times New Roman" w:hAnsi="Times New Roman"/>
          <w:spacing w:val="4"/>
          <w:sz w:val="24"/>
          <w:szCs w:val="24"/>
        </w:rPr>
        <w:t>e</w:t>
      </w:r>
      <w:r>
        <w:rPr>
          <w:rFonts w:ascii="Times New Roman" w:cs="Times New Roman" w:eastAsia="Times New Roman" w:hAnsi="Times New Roman"/>
          <w:spacing w:val="-5"/>
          <w:sz w:val="24"/>
          <w:szCs w:val="24"/>
        </w:rPr>
        <w:t>n</w:t>
      </w:r>
      <w:r>
        <w:rPr>
          <w:rFonts w:ascii="Times New Roman" w:cs="Times New Roman" w:eastAsia="Times New Roman" w:hAnsi="Times New Roman"/>
          <w:spacing w:val="5"/>
          <w:sz w:val="24"/>
          <w:szCs w:val="24"/>
        </w:rPr>
        <w:t>u</w:t>
      </w:r>
      <w:r>
        <w:rPr>
          <w:rFonts w:ascii="Times New Roman" w:cs="Times New Roman" w:eastAsia="Times New Roman" w:hAnsi="Times New Roman"/>
          <w:spacing w:val="-4"/>
          <w:sz w:val="24"/>
          <w:szCs w:val="24"/>
        </w:rPr>
        <w:t>i</w:t>
      </w:r>
      <w:r>
        <w:rPr>
          <w:rFonts w:ascii="Times New Roman" w:cs="Times New Roman" w:eastAsia="Times New Roman" w:hAnsi="Times New Roman"/>
          <w:sz w:val="24"/>
          <w:szCs w:val="24"/>
        </w:rPr>
        <w:t xml:space="preserve">ne </w:t>
      </w:r>
      <w:r>
        <w:rPr>
          <w:rFonts w:ascii="Times New Roman" w:cs="Times New Roman" w:eastAsia="Times New Roman" w:hAnsi="Times New Roman"/>
          <w:spacing w:val="2"/>
          <w:sz w:val="24"/>
          <w:szCs w:val="24"/>
        </w:rPr>
        <w:t>r</w:t>
      </w:r>
      <w:r>
        <w:rPr>
          <w:rFonts w:ascii="Times New Roman" w:cs="Times New Roman" w:eastAsia="Times New Roman" w:hAnsi="Times New Roman"/>
          <w:spacing w:val="4"/>
          <w:sz w:val="24"/>
          <w:szCs w:val="24"/>
        </w:rPr>
        <w:t>e</w:t>
      </w:r>
      <w:r>
        <w:rPr>
          <w:rFonts w:ascii="Times New Roman" w:cs="Times New Roman" w:eastAsia="Times New Roman" w:hAnsi="Times New Roman"/>
          <w:spacing w:val="-2"/>
          <w:sz w:val="24"/>
          <w:szCs w:val="24"/>
        </w:rPr>
        <w:t>s</w:t>
      </w:r>
      <w:r>
        <w:rPr>
          <w:rFonts w:ascii="Times New Roman" w:cs="Times New Roman" w:eastAsia="Times New Roman" w:hAnsi="Times New Roman"/>
          <w:sz w:val="24"/>
          <w:szCs w:val="24"/>
        </w:rPr>
        <w:t>p</w:t>
      </w:r>
      <w:r>
        <w:rPr>
          <w:rFonts w:ascii="Times New Roman" w:cs="Times New Roman" w:eastAsia="Times New Roman" w:hAnsi="Times New Roman"/>
          <w:spacing w:val="5"/>
          <w:sz w:val="24"/>
          <w:szCs w:val="24"/>
        </w:rPr>
        <w:t>o</w:t>
      </w:r>
      <w:r>
        <w:rPr>
          <w:rFonts w:ascii="Times New Roman" w:cs="Times New Roman" w:eastAsia="Times New Roman" w:hAnsi="Times New Roman"/>
          <w:spacing w:val="-5"/>
          <w:sz w:val="24"/>
          <w:szCs w:val="24"/>
        </w:rPr>
        <w:t>n</w:t>
      </w:r>
      <w:r>
        <w:rPr>
          <w:rFonts w:ascii="Times New Roman" w:cs="Times New Roman" w:eastAsia="Times New Roman" w:hAnsi="Times New Roman"/>
          <w:spacing w:val="-2"/>
          <w:sz w:val="24"/>
          <w:szCs w:val="24"/>
        </w:rPr>
        <w:t>s</w:t>
      </w:r>
      <w:r>
        <w:rPr>
          <w:rFonts w:ascii="Times New Roman" w:cs="Times New Roman" w:eastAsia="Times New Roman" w:hAnsi="Times New Roman"/>
          <w:sz w:val="24"/>
          <w:szCs w:val="24"/>
        </w:rPr>
        <w:t xml:space="preserve">e </w:t>
      </w:r>
      <w:r>
        <w:rPr>
          <w:rFonts w:ascii="Times New Roman" w:cs="Times New Roman" w:eastAsia="Times New Roman" w:hAnsi="Times New Roman"/>
          <w:spacing w:val="5"/>
          <w:sz w:val="24"/>
          <w:szCs w:val="24"/>
        </w:rPr>
        <w:t>t</w:t>
      </w:r>
      <w:r>
        <w:rPr>
          <w:rFonts w:ascii="Times New Roman" w:cs="Times New Roman" w:eastAsia="Times New Roman" w:hAnsi="Times New Roman"/>
          <w:sz w:val="24"/>
          <w:szCs w:val="24"/>
        </w:rPr>
        <w:t xml:space="preserve">o </w:t>
      </w:r>
      <w:r>
        <w:rPr>
          <w:rFonts w:ascii="Times New Roman" w:cs="Times New Roman" w:eastAsia="Times New Roman" w:hAnsi="Times New Roman"/>
          <w:spacing w:val="-1"/>
          <w:sz w:val="24"/>
          <w:szCs w:val="24"/>
        </w:rPr>
        <w:t>a</w:t>
      </w:r>
      <w:r>
        <w:rPr>
          <w:rFonts w:ascii="Times New Roman" w:cs="Times New Roman" w:eastAsia="Times New Roman" w:hAnsi="Times New Roman"/>
          <w:spacing w:val="-4"/>
          <w:sz w:val="24"/>
          <w:szCs w:val="24"/>
        </w:rPr>
        <w:t>l</w:t>
      </w:r>
      <w:r>
        <w:rPr>
          <w:rFonts w:ascii="Times New Roman" w:cs="Times New Roman" w:eastAsia="Times New Roman" w:hAnsi="Times New Roman"/>
          <w:sz w:val="24"/>
          <w:szCs w:val="24"/>
        </w:rPr>
        <w:t xml:space="preserve">l </w:t>
      </w:r>
      <w:r>
        <w:rPr>
          <w:rFonts w:ascii="Times New Roman" w:cs="Times New Roman" w:eastAsia="Times New Roman" w:hAnsi="Times New Roman"/>
          <w:spacing w:val="5"/>
          <w:sz w:val="24"/>
          <w:szCs w:val="24"/>
        </w:rPr>
        <w:t>t</w:t>
      </w:r>
      <w:r>
        <w:rPr>
          <w:rFonts w:ascii="Times New Roman" w:cs="Times New Roman" w:eastAsia="Times New Roman" w:hAnsi="Times New Roman"/>
          <w:spacing w:val="-5"/>
          <w:sz w:val="24"/>
          <w:szCs w:val="24"/>
        </w:rPr>
        <w:t>h</w:t>
      </w:r>
      <w:r>
        <w:rPr>
          <w:rFonts w:ascii="Times New Roman" w:cs="Times New Roman" w:eastAsia="Times New Roman" w:hAnsi="Times New Roman"/>
          <w:sz w:val="24"/>
          <w:szCs w:val="24"/>
        </w:rPr>
        <w:t>e q</w:t>
      </w:r>
      <w:r>
        <w:rPr>
          <w:rFonts w:ascii="Times New Roman" w:cs="Times New Roman" w:eastAsia="Times New Roman" w:hAnsi="Times New Roman"/>
          <w:spacing w:val="4"/>
          <w:sz w:val="24"/>
          <w:szCs w:val="24"/>
        </w:rPr>
        <w:t>u</w:t>
      </w:r>
      <w:r>
        <w:rPr>
          <w:rFonts w:ascii="Times New Roman" w:cs="Times New Roman" w:eastAsia="Times New Roman" w:hAnsi="Times New Roman"/>
          <w:spacing w:val="-2"/>
          <w:sz w:val="24"/>
          <w:szCs w:val="24"/>
        </w:rPr>
        <w:t>e</w:t>
      </w:r>
      <w:r>
        <w:rPr>
          <w:rFonts w:ascii="Times New Roman" w:cs="Times New Roman" w:eastAsia="Times New Roman" w:hAnsi="Times New Roman"/>
          <w:spacing w:val="5"/>
          <w:sz w:val="24"/>
          <w:szCs w:val="24"/>
        </w:rPr>
        <w:t>s</w:t>
      </w:r>
      <w:r>
        <w:rPr>
          <w:rFonts w:ascii="Times New Roman" w:cs="Times New Roman" w:eastAsia="Times New Roman" w:hAnsi="Times New Roman"/>
          <w:spacing w:val="-9"/>
          <w:sz w:val="24"/>
          <w:szCs w:val="24"/>
        </w:rPr>
        <w:t>t</w:t>
      </w:r>
      <w:r>
        <w:rPr>
          <w:rFonts w:ascii="Times New Roman" w:cs="Times New Roman" w:eastAsia="Times New Roman" w:hAnsi="Times New Roman"/>
          <w:spacing w:val="5"/>
          <w:sz w:val="24"/>
          <w:szCs w:val="24"/>
        </w:rPr>
        <w:t>i</w:t>
      </w:r>
      <w:r>
        <w:rPr>
          <w:rFonts w:ascii="Times New Roman" w:cs="Times New Roman" w:eastAsia="Times New Roman" w:hAnsi="Times New Roman"/>
          <w:sz w:val="24"/>
          <w:szCs w:val="24"/>
        </w:rPr>
        <w:t>on s</w:t>
      </w:r>
      <w:r>
        <w:rPr>
          <w:rFonts w:ascii="Times New Roman" w:cs="Times New Roman" w:eastAsia="Times New Roman" w:hAnsi="Times New Roman"/>
          <w:spacing w:val="-5"/>
          <w:sz w:val="24"/>
          <w:szCs w:val="24"/>
        </w:rPr>
        <w:t>h</w:t>
      </w:r>
      <w:r>
        <w:rPr>
          <w:rFonts w:ascii="Times New Roman" w:cs="Times New Roman" w:eastAsia="Times New Roman" w:hAnsi="Times New Roman"/>
          <w:spacing w:val="-1"/>
          <w:sz w:val="24"/>
          <w:szCs w:val="24"/>
        </w:rPr>
        <w:t>a</w:t>
      </w:r>
      <w:r>
        <w:rPr>
          <w:rFonts w:ascii="Times New Roman" w:cs="Times New Roman" w:eastAsia="Times New Roman" w:hAnsi="Times New Roman"/>
          <w:spacing w:val="2"/>
          <w:sz w:val="24"/>
          <w:szCs w:val="24"/>
        </w:rPr>
        <w:t>r</w:t>
      </w:r>
      <w:r>
        <w:rPr>
          <w:rFonts w:ascii="Times New Roman" w:cs="Times New Roman" w:eastAsia="Times New Roman" w:hAnsi="Times New Roman"/>
          <w:spacing w:val="-1"/>
          <w:sz w:val="24"/>
          <w:szCs w:val="24"/>
        </w:rPr>
        <w:t xml:space="preserve">es </w:t>
      </w:r>
      <w:r>
        <w:rPr>
          <w:rFonts w:ascii="Times New Roman" w:cs="Times New Roman" w:eastAsia="Times New Roman" w:hAnsi="Times New Roman"/>
          <w:spacing w:val="5"/>
          <w:sz w:val="24"/>
          <w:szCs w:val="24"/>
        </w:rPr>
        <w:t>u</w:t>
      </w:r>
      <w:r>
        <w:rPr>
          <w:rFonts w:ascii="Times New Roman" w:cs="Times New Roman" w:eastAsia="Times New Roman" w:hAnsi="Times New Roman"/>
          <w:spacing w:val="-5"/>
          <w:sz w:val="24"/>
          <w:szCs w:val="24"/>
        </w:rPr>
        <w:t>n</w:t>
      </w:r>
      <w:r>
        <w:rPr>
          <w:rFonts w:ascii="Times New Roman" w:cs="Times New Roman" w:eastAsia="Times New Roman" w:hAnsi="Times New Roman"/>
          <w:sz w:val="24"/>
          <w:szCs w:val="24"/>
        </w:rPr>
        <w:t>d</w:t>
      </w:r>
      <w:r>
        <w:rPr>
          <w:rFonts w:ascii="Times New Roman" w:cs="Times New Roman" w:eastAsia="Times New Roman" w:hAnsi="Times New Roman"/>
          <w:spacing w:val="-1"/>
          <w:sz w:val="24"/>
          <w:szCs w:val="24"/>
        </w:rPr>
        <w:t>e</w:t>
      </w:r>
      <w:r>
        <w:rPr>
          <w:rFonts w:ascii="Times New Roman" w:cs="Times New Roman" w:eastAsia="Times New Roman" w:hAnsi="Times New Roman"/>
          <w:spacing w:val="2"/>
          <w:sz w:val="24"/>
          <w:szCs w:val="24"/>
        </w:rPr>
        <w:t>r</w:t>
      </w:r>
      <w:r>
        <w:rPr>
          <w:rFonts w:ascii="Times New Roman" w:cs="Times New Roman" w:eastAsia="Times New Roman" w:hAnsi="Times New Roman"/>
          <w:sz w:val="24"/>
          <w:szCs w:val="24"/>
        </w:rPr>
        <w:t xml:space="preserve">, I </w:t>
      </w:r>
      <w:r>
        <w:rPr>
          <w:rFonts w:ascii="Times New Roman" w:cs="Times New Roman" w:eastAsia="Times New Roman" w:hAnsi="Times New Roman"/>
          <w:spacing w:val="4"/>
          <w:sz w:val="24"/>
          <w:szCs w:val="24"/>
        </w:rPr>
        <w:t>a</w:t>
      </w:r>
      <w:r>
        <w:rPr>
          <w:rFonts w:ascii="Times New Roman" w:cs="Times New Roman" w:eastAsia="Times New Roman" w:hAnsi="Times New Roman"/>
          <w:sz w:val="24"/>
          <w:szCs w:val="24"/>
        </w:rPr>
        <w:t>m g</w:t>
      </w:r>
      <w:r>
        <w:rPr>
          <w:rFonts w:ascii="Times New Roman" w:cs="Times New Roman" w:eastAsia="Times New Roman" w:hAnsi="Times New Roman"/>
          <w:spacing w:val="2"/>
          <w:sz w:val="24"/>
          <w:szCs w:val="24"/>
        </w:rPr>
        <w:t>r</w:t>
      </w:r>
      <w:r>
        <w:rPr>
          <w:rFonts w:ascii="Times New Roman" w:cs="Times New Roman" w:eastAsia="Times New Roman" w:hAnsi="Times New Roman"/>
          <w:spacing w:val="-1"/>
          <w:sz w:val="24"/>
          <w:szCs w:val="24"/>
        </w:rPr>
        <w:t>a</w:t>
      </w:r>
      <w:r>
        <w:rPr>
          <w:rFonts w:ascii="Times New Roman" w:cs="Times New Roman" w:eastAsia="Times New Roman" w:hAnsi="Times New Roman"/>
          <w:spacing w:val="5"/>
          <w:sz w:val="24"/>
          <w:szCs w:val="24"/>
        </w:rPr>
        <w:t>t</w:t>
      </w:r>
      <w:r>
        <w:rPr>
          <w:rFonts w:ascii="Times New Roman" w:cs="Times New Roman" w:eastAsia="Times New Roman" w:hAnsi="Times New Roman"/>
          <w:spacing w:val="4"/>
          <w:sz w:val="24"/>
          <w:szCs w:val="24"/>
        </w:rPr>
        <w:t>e</w:t>
      </w:r>
      <w:r>
        <w:rPr>
          <w:rFonts w:ascii="Times New Roman" w:cs="Times New Roman" w:eastAsia="Times New Roman" w:hAnsi="Times New Roman"/>
          <w:spacing w:val="-8"/>
          <w:sz w:val="24"/>
          <w:szCs w:val="24"/>
        </w:rPr>
        <w:t>f</w:t>
      </w:r>
      <w:r>
        <w:rPr>
          <w:rFonts w:ascii="Times New Roman" w:cs="Times New Roman" w:eastAsia="Times New Roman" w:hAnsi="Times New Roman"/>
          <w:spacing w:val="5"/>
          <w:sz w:val="24"/>
          <w:szCs w:val="24"/>
        </w:rPr>
        <w:t>u</w:t>
      </w:r>
      <w:r>
        <w:rPr>
          <w:rFonts w:ascii="Times New Roman" w:cs="Times New Roman" w:eastAsia="Times New Roman" w:hAnsi="Times New Roman"/>
          <w:sz w:val="24"/>
          <w:szCs w:val="24"/>
        </w:rPr>
        <w:t xml:space="preserve">l to </w:t>
      </w:r>
      <w:r>
        <w:rPr>
          <w:rFonts w:ascii="Times New Roman" w:cs="Times New Roman" w:eastAsia="Times New Roman" w:hAnsi="Times New Roman"/>
          <w:spacing w:val="-9"/>
          <w:sz w:val="24"/>
          <w:szCs w:val="24"/>
        </w:rPr>
        <w:t>y</w:t>
      </w:r>
      <w:r>
        <w:rPr>
          <w:rFonts w:ascii="Times New Roman" w:cs="Times New Roman" w:eastAsia="Times New Roman" w:hAnsi="Times New Roman"/>
          <w:spacing w:val="5"/>
          <w:sz w:val="24"/>
          <w:szCs w:val="24"/>
        </w:rPr>
        <w:t>o</w:t>
      </w:r>
      <w:r>
        <w:rPr>
          <w:rFonts w:ascii="Times New Roman" w:cs="Times New Roman" w:eastAsia="Times New Roman" w:hAnsi="Times New Roman"/>
          <w:sz w:val="24"/>
          <w:szCs w:val="24"/>
        </w:rPr>
        <w:t xml:space="preserve">ur </w:t>
      </w:r>
      <w:r>
        <w:rPr>
          <w:rFonts w:ascii="Times New Roman" w:cs="Times New Roman" w:eastAsia="Times New Roman" w:hAnsi="Times New Roman"/>
          <w:spacing w:val="-1"/>
          <w:sz w:val="24"/>
          <w:szCs w:val="24"/>
        </w:rPr>
        <w:t>c</w:t>
      </w:r>
      <w:r>
        <w:rPr>
          <w:rFonts w:ascii="Times New Roman" w:cs="Times New Roman" w:eastAsia="Times New Roman" w:hAnsi="Times New Roman"/>
          <w:sz w:val="24"/>
          <w:szCs w:val="24"/>
        </w:rPr>
        <w:t>o</w:t>
      </w:r>
      <w:r>
        <w:rPr>
          <w:rFonts w:ascii="Times New Roman" w:cs="Times New Roman" w:eastAsia="Times New Roman" w:hAnsi="Times New Roman"/>
          <w:spacing w:val="5"/>
          <w:sz w:val="24"/>
          <w:szCs w:val="24"/>
        </w:rPr>
        <w:t>o</w:t>
      </w:r>
      <w:r>
        <w:rPr>
          <w:rFonts w:ascii="Times New Roman" w:cs="Times New Roman" w:eastAsia="Times New Roman" w:hAnsi="Times New Roman"/>
          <w:sz w:val="24"/>
          <w:szCs w:val="24"/>
        </w:rPr>
        <w:t>p</w:t>
      </w:r>
      <w:r>
        <w:rPr>
          <w:rFonts w:ascii="Times New Roman" w:cs="Times New Roman" w:eastAsia="Times New Roman" w:hAnsi="Times New Roman"/>
          <w:spacing w:val="-1"/>
          <w:sz w:val="24"/>
          <w:szCs w:val="24"/>
        </w:rPr>
        <w:t>e</w:t>
      </w:r>
      <w:r>
        <w:rPr>
          <w:rFonts w:ascii="Times New Roman" w:cs="Times New Roman" w:eastAsia="Times New Roman" w:hAnsi="Times New Roman"/>
          <w:spacing w:val="2"/>
          <w:sz w:val="24"/>
          <w:szCs w:val="24"/>
        </w:rPr>
        <w:t>r</w:t>
      </w:r>
      <w:r>
        <w:rPr>
          <w:rFonts w:ascii="Times New Roman" w:cs="Times New Roman" w:eastAsia="Times New Roman" w:hAnsi="Times New Roman"/>
          <w:spacing w:val="-6"/>
          <w:sz w:val="24"/>
          <w:szCs w:val="24"/>
        </w:rPr>
        <w:t>a</w:t>
      </w:r>
      <w:r>
        <w:rPr>
          <w:rFonts w:ascii="Times New Roman" w:cs="Times New Roman" w:eastAsia="Times New Roman" w:hAnsi="Times New Roman"/>
          <w:spacing w:val="5"/>
          <w:sz w:val="24"/>
          <w:szCs w:val="24"/>
        </w:rPr>
        <w:t>t</w:t>
      </w:r>
      <w:r>
        <w:rPr>
          <w:rFonts w:ascii="Times New Roman" w:cs="Times New Roman" w:eastAsia="Times New Roman" w:hAnsi="Times New Roman"/>
          <w:spacing w:val="-9"/>
          <w:sz w:val="24"/>
          <w:szCs w:val="24"/>
        </w:rPr>
        <w:t>i</w:t>
      </w:r>
      <w:r>
        <w:rPr>
          <w:rFonts w:ascii="Times New Roman" w:cs="Times New Roman" w:eastAsia="Times New Roman" w:hAnsi="Times New Roman"/>
          <w:spacing w:val="5"/>
          <w:sz w:val="24"/>
          <w:szCs w:val="24"/>
        </w:rPr>
        <w:t>o</w:t>
      </w:r>
      <w:r>
        <w:rPr>
          <w:rFonts w:ascii="Times New Roman" w:cs="Times New Roman" w:eastAsia="Times New Roman" w:hAnsi="Times New Roman"/>
          <w:spacing w:val="-5"/>
          <w:sz w:val="24"/>
          <w:szCs w:val="24"/>
        </w:rPr>
        <w:t>n</w:t>
      </w:r>
      <w:r>
        <w:rPr>
          <w:rFonts w:ascii="Times New Roman" w:cs="Times New Roman" w:eastAsia="Times New Roman" w:hAnsi="Times New Roman"/>
          <w:sz w:val="24"/>
          <w:szCs w:val="24"/>
        </w:rPr>
        <w:t>.</w:t>
      </w:r>
    </w:p>
    <w:p>
      <w:pPr>
        <w:pStyle w:val="style0"/>
        <w:spacing w:after="0" w:lineRule="auto" w:line="360"/>
        <w:jc w:val="both"/>
        <w:rPr>
          <w:rFonts w:ascii="Times New Roman" w:cs="Times New Roman" w:eastAsia="Times New Roman" w:hAnsi="Times New Roman"/>
          <w:sz w:val="20"/>
          <w:szCs w:val="20"/>
        </w:rPr>
      </w:pPr>
    </w:p>
    <w:p>
      <w:pPr>
        <w:pStyle w:val="style0"/>
        <w:spacing w:after="0" w:lineRule="auto" w:line="360"/>
        <w:ind w:right="115"/>
        <w:jc w:val="both"/>
        <w:rPr>
          <w:rFonts w:ascii="Times New Roman" w:cs="Times New Roman" w:eastAsia="Times New Roman" w:hAnsi="Times New Roman"/>
          <w:b/>
          <w:w w:val="99"/>
          <w:sz w:val="24"/>
          <w:szCs w:val="24"/>
        </w:rPr>
      </w:pPr>
      <w:r>
        <w:rPr>
          <w:rFonts w:ascii="Times New Roman" w:cs="Times New Roman" w:eastAsia="Times New Roman" w:hAnsi="Times New Roman"/>
          <w:b/>
          <w:spacing w:val="-1"/>
          <w:sz w:val="24"/>
          <w:szCs w:val="24"/>
        </w:rPr>
        <w:t>T</w:t>
      </w:r>
      <w:r>
        <w:rPr>
          <w:rFonts w:ascii="Times New Roman" w:cs="Times New Roman" w:eastAsia="Times New Roman" w:hAnsi="Times New Roman"/>
          <w:b/>
          <w:spacing w:val="1"/>
          <w:sz w:val="24"/>
          <w:szCs w:val="24"/>
        </w:rPr>
        <w:t>h</w:t>
      </w:r>
      <w:r>
        <w:rPr>
          <w:rFonts w:ascii="Times New Roman" w:cs="Times New Roman" w:eastAsia="Times New Roman" w:hAnsi="Times New Roman"/>
          <w:b/>
          <w:sz w:val="24"/>
          <w:szCs w:val="24"/>
        </w:rPr>
        <w:t>a</w:t>
      </w:r>
      <w:r>
        <w:rPr>
          <w:rFonts w:ascii="Times New Roman" w:cs="Times New Roman" w:eastAsia="Times New Roman" w:hAnsi="Times New Roman"/>
          <w:b/>
          <w:spacing w:val="1"/>
          <w:sz w:val="24"/>
          <w:szCs w:val="24"/>
        </w:rPr>
        <w:t>n</w:t>
      </w:r>
      <w:r>
        <w:rPr>
          <w:rFonts w:ascii="Times New Roman" w:cs="Times New Roman" w:eastAsia="Times New Roman" w:hAnsi="Times New Roman"/>
          <w:b/>
          <w:sz w:val="24"/>
          <w:szCs w:val="24"/>
        </w:rPr>
        <w:t xml:space="preserve">k </w:t>
      </w:r>
      <w:r>
        <w:rPr>
          <w:rFonts w:ascii="Times New Roman" w:cs="Times New Roman" w:eastAsia="Times New Roman" w:hAnsi="Times New Roman"/>
          <w:b/>
          <w:w w:val="99"/>
          <w:sz w:val="24"/>
          <w:szCs w:val="24"/>
        </w:rPr>
        <w:t>Yo</w:t>
      </w:r>
      <w:r>
        <w:rPr>
          <w:rFonts w:ascii="Times New Roman" w:cs="Times New Roman" w:eastAsia="Times New Roman" w:hAnsi="Times New Roman"/>
          <w:b/>
          <w:spacing w:val="1"/>
          <w:w w:val="99"/>
          <w:sz w:val="24"/>
          <w:szCs w:val="24"/>
        </w:rPr>
        <w:t>u</w:t>
      </w:r>
      <w:r>
        <w:rPr>
          <w:rFonts w:ascii="Times New Roman" w:cs="Times New Roman" w:eastAsia="Times New Roman" w:hAnsi="Times New Roman"/>
          <w:b/>
          <w:w w:val="99"/>
          <w:sz w:val="24"/>
          <w:szCs w:val="24"/>
        </w:rPr>
        <w:t>!</w:t>
      </w: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bookmarkStart w:id="176" w:name="_Toc204249804"/>
    <w:p>
      <w:pPr>
        <w:pStyle w:val="style3"/>
        <w:jc w:val="center"/>
        <w:rPr>
          <w:rFonts w:ascii="Times New Roman" w:cs="Times New Roman" w:hAnsi="Times New Roman"/>
          <w:color w:val="auto"/>
        </w:rPr>
      </w:pPr>
      <w:r>
        <w:rPr>
          <w:rFonts w:ascii="Times New Roman" w:cs="Times New Roman" w:hAnsi="Times New Roman"/>
          <w:color w:val="auto"/>
        </w:rPr>
        <w:t>Appendix A: Respondents Questionnaire (English Version)</w:t>
      </w:r>
      <w:bookmarkEnd w:id="176"/>
    </w:p>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General Instructions:</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I.  Please circle the letter that appropriately represents your response in each of the following questions.</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II. To the questions with alternatives that do not match to your response, please write your appropriate response on the space provided</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Section I: Background information of respondents</w:t>
      </w:r>
    </w:p>
    <w:p>
      <w:pPr>
        <w:pStyle w:val="style0"/>
        <w:numPr>
          <w:ilvl w:val="0"/>
          <w:numId w:val="3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Age: (in years)</w:t>
      </w:r>
    </w:p>
    <w:p>
      <w:pPr>
        <w:pStyle w:val="style0"/>
        <w:numPr>
          <w:ilvl w:val="0"/>
          <w:numId w:val="3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Less than thirty</w:t>
      </w:r>
    </w:p>
    <w:p>
      <w:pPr>
        <w:pStyle w:val="style0"/>
        <w:numPr>
          <w:ilvl w:val="0"/>
          <w:numId w:val="3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30to39</w:t>
      </w:r>
    </w:p>
    <w:p>
      <w:pPr>
        <w:pStyle w:val="style0"/>
        <w:numPr>
          <w:ilvl w:val="0"/>
          <w:numId w:val="3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.40to49</w:t>
      </w:r>
    </w:p>
    <w:p>
      <w:pPr>
        <w:pStyle w:val="style0"/>
        <w:numPr>
          <w:ilvl w:val="0"/>
          <w:numId w:val="3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D.50to59</w:t>
      </w:r>
    </w:p>
    <w:p>
      <w:pPr>
        <w:pStyle w:val="style0"/>
        <w:numPr>
          <w:ilvl w:val="0"/>
          <w:numId w:val="3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60yearsormore</w:t>
      </w:r>
    </w:p>
    <w:p>
      <w:pPr>
        <w:pStyle w:val="style0"/>
        <w:numPr>
          <w:ilvl w:val="0"/>
          <w:numId w:val="3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Gender:</w:t>
      </w:r>
    </w:p>
    <w:p>
      <w:pPr>
        <w:pStyle w:val="style0"/>
        <w:numPr>
          <w:ilvl w:val="0"/>
          <w:numId w:val="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Male </w:t>
      </w:r>
    </w:p>
    <w:p>
      <w:pPr>
        <w:pStyle w:val="style0"/>
        <w:numPr>
          <w:ilvl w:val="0"/>
          <w:numId w:val="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Female</w:t>
      </w:r>
    </w:p>
    <w:p>
      <w:pPr>
        <w:pStyle w:val="style0"/>
        <w:numPr>
          <w:ilvl w:val="0"/>
          <w:numId w:val="3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Educational status:</w:t>
      </w:r>
    </w:p>
    <w:p>
      <w:pPr>
        <w:pStyle w:val="style0"/>
        <w:numPr>
          <w:ilvl w:val="0"/>
          <w:numId w:val="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Illiterate</w:t>
      </w:r>
    </w:p>
    <w:p>
      <w:pPr>
        <w:pStyle w:val="style0"/>
        <w:numPr>
          <w:ilvl w:val="0"/>
          <w:numId w:val="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General secondary school or less</w:t>
      </w:r>
    </w:p>
    <w:p>
      <w:pPr>
        <w:pStyle w:val="style0"/>
        <w:numPr>
          <w:ilvl w:val="0"/>
          <w:numId w:val="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TVET certificate</w:t>
      </w:r>
    </w:p>
    <w:p>
      <w:pPr>
        <w:pStyle w:val="style0"/>
        <w:numPr>
          <w:ilvl w:val="0"/>
          <w:numId w:val="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Diploma</w:t>
      </w:r>
    </w:p>
    <w:p>
      <w:pPr>
        <w:pStyle w:val="style0"/>
        <w:numPr>
          <w:ilvl w:val="0"/>
          <w:numId w:val="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Degree</w:t>
      </w:r>
    </w:p>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 xml:space="preserve"> Section II: Questions Related To taxpayers General Knowledge about Taxation</w:t>
      </w:r>
    </w:p>
    <w:p>
      <w:pPr>
        <w:pStyle w:val="style0"/>
        <w:numPr>
          <w:ilvl w:val="0"/>
          <w:numId w:val="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Why do you pay taxes?</w:t>
      </w:r>
    </w:p>
    <w:p>
      <w:pPr>
        <w:pStyle w:val="style0"/>
        <w:numPr>
          <w:ilvl w:val="0"/>
          <w:numId w:val="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To avoid disturbances (penalties, sanctions,)</w:t>
      </w:r>
    </w:p>
    <w:p>
      <w:pPr>
        <w:pStyle w:val="style0"/>
        <w:numPr>
          <w:ilvl w:val="0"/>
          <w:numId w:val="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in the anticipation of public services</w:t>
      </w:r>
    </w:p>
    <w:p>
      <w:pPr>
        <w:pStyle w:val="style0"/>
        <w:numPr>
          <w:ilvl w:val="0"/>
          <w:numId w:val="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There in opportunity evade.</w:t>
      </w:r>
    </w:p>
    <w:p>
      <w:pPr>
        <w:pStyle w:val="style0"/>
        <w:numPr>
          <w:ilvl w:val="0"/>
          <w:numId w:val="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It is an obligation to wards the government.</w:t>
      </w:r>
    </w:p>
    <w:p>
      <w:pPr>
        <w:pStyle w:val="style0"/>
        <w:numPr>
          <w:ilvl w:val="0"/>
          <w:numId w:val="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Don‘t know.</w:t>
      </w:r>
    </w:p>
    <w:p>
      <w:pPr>
        <w:pStyle w:val="style0"/>
        <w:numPr>
          <w:ilvl w:val="0"/>
          <w:numId w:val="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.State if any, _______________________</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Considering your ability to pay, how do you think the amount of tax liability you have? Paid?</w:t>
      </w:r>
    </w:p>
    <w:p>
      <w:pPr>
        <w:pStyle w:val="style0"/>
        <w:numPr>
          <w:ilvl w:val="0"/>
          <w:numId w:val="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Over stated</w:t>
      </w:r>
    </w:p>
    <w:p>
      <w:pPr>
        <w:pStyle w:val="style0"/>
        <w:numPr>
          <w:ilvl w:val="0"/>
          <w:numId w:val="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Understated</w:t>
      </w:r>
    </w:p>
    <w:p>
      <w:pPr>
        <w:pStyle w:val="style0"/>
        <w:numPr>
          <w:ilvl w:val="0"/>
          <w:numId w:val="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Normal</w:t>
      </w:r>
    </w:p>
    <w:p>
      <w:pPr>
        <w:pStyle w:val="style0"/>
        <w:numPr>
          <w:ilvl w:val="0"/>
          <w:numId w:val="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It is unfair to pay tax</w:t>
      </w:r>
    </w:p>
    <w:p>
      <w:pPr>
        <w:pStyle w:val="style0"/>
        <w:numPr>
          <w:ilvl w:val="0"/>
          <w:numId w:val="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Strongly disagree</w:t>
      </w:r>
    </w:p>
    <w:p>
      <w:pPr>
        <w:pStyle w:val="style0"/>
        <w:numPr>
          <w:ilvl w:val="0"/>
          <w:numId w:val="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disagree</w:t>
      </w:r>
    </w:p>
    <w:p>
      <w:pPr>
        <w:pStyle w:val="style0"/>
        <w:numPr>
          <w:ilvl w:val="0"/>
          <w:numId w:val="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Neither disagrees nor agrees</w:t>
      </w:r>
    </w:p>
    <w:p>
      <w:pPr>
        <w:pStyle w:val="style0"/>
        <w:numPr>
          <w:ilvl w:val="0"/>
          <w:numId w:val="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Moderately agree</w:t>
      </w:r>
    </w:p>
    <w:p>
      <w:pPr>
        <w:pStyle w:val="style0"/>
        <w:numPr>
          <w:ilvl w:val="0"/>
          <w:numId w:val="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The tax laws should be respected.</w:t>
      </w:r>
    </w:p>
    <w:p>
      <w:pPr>
        <w:pStyle w:val="style0"/>
        <w:numPr>
          <w:ilvl w:val="0"/>
          <w:numId w:val="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disagree</w:t>
      </w:r>
    </w:p>
    <w:p>
      <w:pPr>
        <w:pStyle w:val="style0"/>
        <w:numPr>
          <w:ilvl w:val="0"/>
          <w:numId w:val="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Moderately disagree</w:t>
      </w:r>
    </w:p>
    <w:p>
      <w:pPr>
        <w:pStyle w:val="style0"/>
        <w:numPr>
          <w:ilvl w:val="0"/>
          <w:numId w:val="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Neither disagrees nor agrees</w:t>
      </w:r>
    </w:p>
    <w:p>
      <w:pPr>
        <w:pStyle w:val="style0"/>
        <w:numPr>
          <w:ilvl w:val="0"/>
          <w:numId w:val="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Moderately agree</w:t>
      </w:r>
    </w:p>
    <w:p>
      <w:pPr>
        <w:pStyle w:val="style0"/>
        <w:numPr>
          <w:ilvl w:val="0"/>
          <w:numId w:val="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Which of the following isthmus serious crime?(Rankthem1-4)</w:t>
      </w:r>
    </w:p>
    <w:p>
      <w:pPr>
        <w:pStyle w:val="style0"/>
        <w:numPr>
          <w:ilvl w:val="0"/>
          <w:numId w:val="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Drunken driving</w:t>
      </w:r>
    </w:p>
    <w:p>
      <w:pPr>
        <w:pStyle w:val="style0"/>
        <w:numPr>
          <w:ilvl w:val="0"/>
          <w:numId w:val="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Stealing someone’s mobile</w:t>
      </w:r>
    </w:p>
    <w:p>
      <w:pPr>
        <w:pStyle w:val="style0"/>
        <w:numPr>
          <w:ilvl w:val="0"/>
          <w:numId w:val="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Tax evasion</w:t>
      </w:r>
    </w:p>
    <w:p>
      <w:pPr>
        <w:pStyle w:val="style0"/>
        <w:numPr>
          <w:ilvl w:val="0"/>
          <w:numId w:val="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Hi-jacking</w:t>
      </w:r>
    </w:p>
    <w:p>
      <w:pPr>
        <w:pStyle w:val="style0"/>
        <w:numPr>
          <w:ilvl w:val="0"/>
          <w:numId w:val="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State if any; _______________</w:t>
      </w:r>
      <w:r>
        <w:rPr>
          <w:rFonts w:ascii="Times New Roman" w:cs="Times New Roman" w:eastAsia="Times New Roman" w:hAnsi="Times New Roman"/>
          <w:sz w:val="24"/>
          <w:szCs w:val="24"/>
        </w:rPr>
        <w:tab/>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What are the major problems in tax system/collection?</w:t>
      </w:r>
    </w:p>
    <w:p>
      <w:pPr>
        <w:pStyle w:val="style0"/>
        <w:numPr>
          <w:ilvl w:val="0"/>
          <w:numId w:val="1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Tax revenues are not spent on public service</w:t>
      </w:r>
    </w:p>
    <w:p>
      <w:pPr>
        <w:pStyle w:val="style0"/>
        <w:numPr>
          <w:ilvl w:val="0"/>
          <w:numId w:val="1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Tax rates are too high.</w:t>
      </w:r>
    </w:p>
    <w:p>
      <w:pPr>
        <w:pStyle w:val="style0"/>
        <w:numPr>
          <w:ilvl w:val="0"/>
          <w:numId w:val="1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There are dishonest tax collectors.</w:t>
      </w:r>
    </w:p>
    <w:p>
      <w:pPr>
        <w:pStyle w:val="style0"/>
        <w:numPr>
          <w:ilvl w:val="0"/>
          <w:numId w:val="1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Several tax items are levied at the same time.</w:t>
      </w:r>
    </w:p>
    <w:p>
      <w:pPr>
        <w:pStyle w:val="style0"/>
        <w:numPr>
          <w:ilvl w:val="0"/>
          <w:numId w:val="1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Tax payers are not willing to pay taxes.</w:t>
      </w:r>
    </w:p>
    <w:p>
      <w:pPr>
        <w:pStyle w:val="style0"/>
        <w:numPr>
          <w:ilvl w:val="0"/>
          <w:numId w:val="1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State if any; _____________________________________________                           </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Section III: Questions related to Motivational Factors</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Which of the following measures should the tax authority under take to motivate? Taxpayers to pay tax?</w:t>
      </w:r>
    </w:p>
    <w:tbl>
      <w:tblPr>
        <w:tblW w:w="10241" w:type="dxa"/>
        <w:tblLayout w:type="fixed"/>
        <w:tblCellMar>
          <w:left w:w="0" w:type="dxa"/>
          <w:right w:w="0" w:type="dxa"/>
        </w:tblCellMar>
        <w:tblLook w:val="04A0" w:firstRow="1" w:lastRow="0" w:firstColumn="1" w:lastColumn="0" w:noHBand="0" w:noVBand="1"/>
      </w:tblPr>
      <w:tblGrid>
        <w:gridCol w:w="3330"/>
        <w:gridCol w:w="1151"/>
        <w:gridCol w:w="1440"/>
        <w:gridCol w:w="1709"/>
        <w:gridCol w:w="1440"/>
        <w:gridCol w:w="1171"/>
      </w:tblGrid>
      <w:tr>
        <w:trPr>
          <w:trHeight w:val="937" w:hRule="exact"/>
        </w:trPr>
        <w:tc>
          <w:tcPr>
            <w:tcW w:w="333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Possible measures</w:t>
            </w:r>
          </w:p>
        </w:tc>
        <w:tc>
          <w:tcPr>
            <w:tcW w:w="1151"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Strongly</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disagree</w:t>
            </w:r>
          </w:p>
        </w:tc>
        <w:tc>
          <w:tcPr>
            <w:tcW w:w="144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Moderately</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disagree</w:t>
            </w:r>
          </w:p>
        </w:tc>
        <w:tc>
          <w:tcPr>
            <w:tcW w:w="1709"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Neither agree</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Nor disagree</w:t>
            </w:r>
          </w:p>
        </w:tc>
        <w:tc>
          <w:tcPr>
            <w:tcW w:w="144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Moderately</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agree</w:t>
            </w:r>
          </w:p>
        </w:tc>
        <w:tc>
          <w:tcPr>
            <w:tcW w:w="1171"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Strongly</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agree</w:t>
            </w:r>
          </w:p>
        </w:tc>
      </w:tr>
      <w:tr>
        <w:tblPrEx/>
        <w:trPr>
          <w:trHeight w:val="840" w:hRule="exact"/>
        </w:trPr>
        <w:tc>
          <w:tcPr>
            <w:tcW w:w="333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Strengthening legal enforcement</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and penalties</w:t>
            </w: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tc>
        <w:tc>
          <w:tcPr>
            <w:tcW w:w="1151"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44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44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171"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r>
      <w:tr>
        <w:tblPrEx/>
        <w:trPr>
          <w:trHeight w:val="835" w:hRule="exact"/>
        </w:trPr>
        <w:tc>
          <w:tcPr>
            <w:tcW w:w="333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Improving relationship with the</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Public</w:t>
            </w:r>
          </w:p>
        </w:tc>
        <w:tc>
          <w:tcPr>
            <w:tcW w:w="1151"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44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44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171"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r>
      <w:tr>
        <w:tblPrEx/>
        <w:trPr>
          <w:trHeight w:val="1027" w:hRule="exact"/>
        </w:trPr>
        <w:tc>
          <w:tcPr>
            <w:tcW w:w="333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Educating the taxpayers and</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Conducting consultations</w:t>
            </w:r>
          </w:p>
        </w:tc>
        <w:tc>
          <w:tcPr>
            <w:tcW w:w="1151"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44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44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171"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r>
      <w:tr>
        <w:tblPrEx/>
        <w:trPr>
          <w:trHeight w:val="2260" w:hRule="exact"/>
        </w:trPr>
        <w:tc>
          <w:tcPr>
            <w:tcW w:w="333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Providing necessary information</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To tax payers regarding the</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Provision of services and utilization of tax revenues</w:t>
            </w:r>
          </w:p>
        </w:tc>
        <w:tc>
          <w:tcPr>
            <w:tcW w:w="1151"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44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44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171"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r>
      <w:tr>
        <w:tblPrEx/>
        <w:trPr>
          <w:trHeight w:val="1117" w:hRule="exact"/>
        </w:trPr>
        <w:tc>
          <w:tcPr>
            <w:tcW w:w="333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Reducing tax rates and making the Collection procedures simple and transparent</w:t>
            </w:r>
          </w:p>
        </w:tc>
        <w:tc>
          <w:tcPr>
            <w:tcW w:w="1151"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44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709"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44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171"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r>
    </w:tbl>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Section IV: Questions related to different Determinant factors</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In general, would you agree that the business income tax burden imposed upon category “A “Taxpayers are fair?</w:t>
      </w:r>
    </w:p>
    <w:p>
      <w:pPr>
        <w:pStyle w:val="style0"/>
        <w:numPr>
          <w:ilvl w:val="0"/>
          <w:numId w:val="1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disagree</w:t>
      </w:r>
    </w:p>
    <w:p>
      <w:pPr>
        <w:pStyle w:val="style0"/>
        <w:numPr>
          <w:ilvl w:val="0"/>
          <w:numId w:val="1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Moderately disagree</w:t>
      </w:r>
    </w:p>
    <w:p>
      <w:pPr>
        <w:pStyle w:val="style0"/>
        <w:numPr>
          <w:ilvl w:val="0"/>
          <w:numId w:val="1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Neither disagrees nor agrees</w:t>
      </w:r>
    </w:p>
    <w:p>
      <w:pPr>
        <w:pStyle w:val="style0"/>
        <w:numPr>
          <w:ilvl w:val="0"/>
          <w:numId w:val="1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agree</w:t>
      </w:r>
    </w:p>
    <w:p>
      <w:pPr>
        <w:pStyle w:val="style0"/>
        <w:numPr>
          <w:ilvl w:val="0"/>
          <w:numId w:val="1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Personally, would you agree that the business income tax burden imposed upon you is fair?</w:t>
      </w:r>
    </w:p>
    <w:p>
      <w:pPr>
        <w:pStyle w:val="style0"/>
        <w:numPr>
          <w:ilvl w:val="0"/>
          <w:numId w:val="1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disagree</w:t>
      </w:r>
    </w:p>
    <w:p>
      <w:pPr>
        <w:pStyle w:val="style0"/>
        <w:numPr>
          <w:ilvl w:val="0"/>
          <w:numId w:val="1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Moderately disagree</w:t>
      </w:r>
    </w:p>
    <w:p>
      <w:pPr>
        <w:pStyle w:val="style0"/>
        <w:numPr>
          <w:ilvl w:val="0"/>
          <w:numId w:val="1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Neither disagrees nor agrees</w:t>
      </w:r>
    </w:p>
    <w:p>
      <w:pPr>
        <w:pStyle w:val="style0"/>
        <w:numPr>
          <w:ilvl w:val="0"/>
          <w:numId w:val="1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Moderately agree</w:t>
      </w:r>
    </w:p>
    <w:p>
      <w:pPr>
        <w:pStyle w:val="style0"/>
        <w:numPr>
          <w:ilvl w:val="0"/>
          <w:numId w:val="1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Would you agree that tax payers with higher business incomes pay tax at higher rates than taxpayers with lower business incomes?</w:t>
      </w:r>
    </w:p>
    <w:p>
      <w:pPr>
        <w:pStyle w:val="style0"/>
        <w:numPr>
          <w:ilvl w:val="0"/>
          <w:numId w:val="1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Strongly disagree</w:t>
      </w:r>
    </w:p>
    <w:p>
      <w:pPr>
        <w:pStyle w:val="style0"/>
        <w:numPr>
          <w:ilvl w:val="0"/>
          <w:numId w:val="1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disagree</w:t>
      </w:r>
    </w:p>
    <w:p>
      <w:pPr>
        <w:pStyle w:val="style0"/>
        <w:numPr>
          <w:ilvl w:val="0"/>
          <w:numId w:val="1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Neither disagrees nor agrees</w:t>
      </w:r>
    </w:p>
    <w:p>
      <w:pPr>
        <w:pStyle w:val="style0"/>
        <w:numPr>
          <w:ilvl w:val="0"/>
          <w:numId w:val="1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Moderately agree</w:t>
      </w:r>
    </w:p>
    <w:p>
      <w:pPr>
        <w:pStyle w:val="style0"/>
        <w:numPr>
          <w:ilvl w:val="0"/>
          <w:numId w:val="1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As taxpayers’ perceptions of tax fairness increases, the level of tax compliance will also increase?</w:t>
      </w:r>
    </w:p>
    <w:p>
      <w:pPr>
        <w:pStyle w:val="style0"/>
        <w:numPr>
          <w:ilvl w:val="0"/>
          <w:numId w:val="1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disagree</w:t>
      </w:r>
    </w:p>
    <w:p>
      <w:pPr>
        <w:pStyle w:val="style0"/>
        <w:numPr>
          <w:ilvl w:val="0"/>
          <w:numId w:val="1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disagree</w:t>
      </w:r>
    </w:p>
    <w:p>
      <w:pPr>
        <w:pStyle w:val="style0"/>
        <w:numPr>
          <w:ilvl w:val="0"/>
          <w:numId w:val="1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Neither disagrees nor agrees</w:t>
      </w:r>
    </w:p>
    <w:p>
      <w:pPr>
        <w:pStyle w:val="style0"/>
        <w:numPr>
          <w:ilvl w:val="0"/>
          <w:numId w:val="1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agree</w:t>
      </w:r>
    </w:p>
    <w:p>
      <w:pPr>
        <w:pStyle w:val="style0"/>
        <w:numPr>
          <w:ilvl w:val="0"/>
          <w:numId w:val="1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How do you evaluate the strength of the tax authority with respect to the following? Parameters?</w:t>
      </w:r>
    </w:p>
    <w:tbl>
      <w:tblPr>
        <w:tblW w:w="9181" w:type="dxa"/>
        <w:tblInd w:w="113" w:type="dxa"/>
        <w:tblLayout w:type="fixed"/>
        <w:tblCellMar>
          <w:left w:w="0" w:type="dxa"/>
          <w:right w:w="0" w:type="dxa"/>
        </w:tblCellMar>
        <w:tblLook w:val="04A0" w:firstRow="1" w:lastRow="0" w:firstColumn="1" w:lastColumn="0" w:noHBand="0" w:noVBand="1"/>
      </w:tblPr>
      <w:tblGrid>
        <w:gridCol w:w="3235"/>
        <w:gridCol w:w="1067"/>
        <w:gridCol w:w="977"/>
        <w:gridCol w:w="1453"/>
        <w:gridCol w:w="1249"/>
        <w:gridCol w:w="1200"/>
      </w:tblGrid>
      <w:tr>
        <w:trPr>
          <w:trHeight w:val="541" w:hRule="exact"/>
        </w:trPr>
        <w:tc>
          <w:tcPr>
            <w:tcW w:w="3235"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Parameters</w:t>
            </w:r>
          </w:p>
        </w:tc>
        <w:tc>
          <w:tcPr>
            <w:tcW w:w="1067"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Excellent</w:t>
            </w:r>
          </w:p>
        </w:tc>
        <w:tc>
          <w:tcPr>
            <w:tcW w:w="977"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Good</w:t>
            </w:r>
          </w:p>
        </w:tc>
        <w:tc>
          <w:tcPr>
            <w:tcW w:w="1453"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Neither nor</w:t>
            </w:r>
          </w:p>
        </w:tc>
        <w:tc>
          <w:tcPr>
            <w:tcW w:w="1249"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Poor</w:t>
            </w:r>
          </w:p>
        </w:tc>
        <w:tc>
          <w:tcPr>
            <w:tcW w:w="120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Extremely</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Poor</w:t>
            </w:r>
          </w:p>
        </w:tc>
      </w:tr>
      <w:tr>
        <w:tblPrEx/>
        <w:trPr>
          <w:trHeight w:val="518" w:hRule="exact"/>
        </w:trPr>
        <w:tc>
          <w:tcPr>
            <w:tcW w:w="3235"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Service delivery</w:t>
            </w:r>
          </w:p>
        </w:tc>
        <w:tc>
          <w:tcPr>
            <w:tcW w:w="1067"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977"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453"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249"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20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r>
      <w:tr>
        <w:tblPrEx/>
        <w:trPr>
          <w:trHeight w:val="514" w:hRule="exact"/>
        </w:trPr>
        <w:tc>
          <w:tcPr>
            <w:tcW w:w="3235"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Tax collection efficiency</w:t>
            </w:r>
          </w:p>
        </w:tc>
        <w:tc>
          <w:tcPr>
            <w:tcW w:w="1067"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977"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453"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249"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20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r>
      <w:tr>
        <w:tblPrEx/>
        <w:trPr>
          <w:trHeight w:val="518" w:hRule="exact"/>
        </w:trPr>
        <w:tc>
          <w:tcPr>
            <w:tcW w:w="3235"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Law enforcement</w:t>
            </w:r>
          </w:p>
        </w:tc>
        <w:tc>
          <w:tcPr>
            <w:tcW w:w="1067"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977"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453"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249"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20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r>
      <w:tr>
        <w:tblPrEx/>
        <w:trPr>
          <w:trHeight w:val="514" w:hRule="exact"/>
        </w:trPr>
        <w:tc>
          <w:tcPr>
            <w:tcW w:w="3235"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Awareness creation</w:t>
            </w:r>
          </w:p>
        </w:tc>
        <w:tc>
          <w:tcPr>
            <w:tcW w:w="1067"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977"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453"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249"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20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r>
    </w:tbl>
    <w:p>
      <w:pPr>
        <w:pStyle w:val="style0"/>
        <w:spacing w:after="0" w:lineRule="auto" w:line="360"/>
        <w:ind w:right="115"/>
        <w:jc w:val="both"/>
        <w:rPr>
          <w:rFonts w:ascii="Times New Roman" w:cs="Times New Roman" w:eastAsia="Times New Roman" w:hAnsi="Times New Roman"/>
          <w:sz w:val="24"/>
          <w:szCs w:val="24"/>
        </w:rPr>
      </w:pP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Taxpayers have trust in the tax system, assessment, and collection procedures</w:t>
      </w:r>
    </w:p>
    <w:p>
      <w:pPr>
        <w:pStyle w:val="style0"/>
        <w:numPr>
          <w:ilvl w:val="0"/>
          <w:numId w:val="1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disagree</w:t>
      </w:r>
    </w:p>
    <w:p>
      <w:pPr>
        <w:pStyle w:val="style0"/>
        <w:numPr>
          <w:ilvl w:val="0"/>
          <w:numId w:val="1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disagree</w:t>
      </w:r>
    </w:p>
    <w:p>
      <w:pPr>
        <w:pStyle w:val="style0"/>
        <w:numPr>
          <w:ilvl w:val="0"/>
          <w:numId w:val="1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Neither disagrees nor agrees</w:t>
      </w:r>
    </w:p>
    <w:p>
      <w:pPr>
        <w:pStyle w:val="style0"/>
        <w:numPr>
          <w:ilvl w:val="0"/>
          <w:numId w:val="1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Moderately agree</w:t>
      </w:r>
    </w:p>
    <w:p>
      <w:pPr>
        <w:pStyle w:val="style0"/>
        <w:numPr>
          <w:ilvl w:val="0"/>
          <w:numId w:val="1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Do you agree that the tax assessors’ committees unbiased in determining your income tax liability?</w:t>
      </w:r>
    </w:p>
    <w:p>
      <w:pPr>
        <w:pStyle w:val="style0"/>
        <w:numPr>
          <w:ilvl w:val="0"/>
          <w:numId w:val="1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disagree</w:t>
      </w:r>
    </w:p>
    <w:p>
      <w:pPr>
        <w:pStyle w:val="style0"/>
        <w:numPr>
          <w:ilvl w:val="0"/>
          <w:numId w:val="1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Moderately disagree</w:t>
      </w:r>
    </w:p>
    <w:p>
      <w:pPr>
        <w:pStyle w:val="style0"/>
        <w:numPr>
          <w:ilvl w:val="0"/>
          <w:numId w:val="1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Neither disagrees nor agrees</w:t>
      </w:r>
    </w:p>
    <w:p>
      <w:pPr>
        <w:pStyle w:val="style0"/>
        <w:numPr>
          <w:ilvl w:val="0"/>
          <w:numId w:val="1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Moderately agree</w:t>
      </w:r>
    </w:p>
    <w:p>
      <w:pPr>
        <w:pStyle w:val="style0"/>
        <w:numPr>
          <w:ilvl w:val="0"/>
          <w:numId w:val="1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Taxpayerswhoperceivethetaxauthorities’enforcementactionstobeineffectivearelessCompliant</w:t>
      </w:r>
    </w:p>
    <w:p>
      <w:pPr>
        <w:pStyle w:val="style0"/>
        <w:numPr>
          <w:ilvl w:val="0"/>
          <w:numId w:val="1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disagree</w:t>
      </w:r>
    </w:p>
    <w:p>
      <w:pPr>
        <w:pStyle w:val="style0"/>
        <w:numPr>
          <w:ilvl w:val="0"/>
          <w:numId w:val="1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Moderately disagree</w:t>
      </w:r>
    </w:p>
    <w:p>
      <w:pPr>
        <w:pStyle w:val="style0"/>
        <w:numPr>
          <w:ilvl w:val="0"/>
          <w:numId w:val="1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Neither disagrees nor agrees</w:t>
      </w:r>
    </w:p>
    <w:p>
      <w:pPr>
        <w:pStyle w:val="style0"/>
        <w:numPr>
          <w:ilvl w:val="0"/>
          <w:numId w:val="1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Moderately agree</w:t>
      </w:r>
    </w:p>
    <w:p>
      <w:pPr>
        <w:pStyle w:val="style0"/>
        <w:numPr>
          <w:ilvl w:val="0"/>
          <w:numId w:val="1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If there isnopenaltyorlegalenforcementthereisapossibilitythattaxpayersmay notpayTax</w:t>
      </w:r>
    </w:p>
    <w:p>
      <w:pPr>
        <w:pStyle w:val="style0"/>
        <w:numPr>
          <w:ilvl w:val="0"/>
          <w:numId w:val="1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disagree</w:t>
      </w:r>
    </w:p>
    <w:p>
      <w:pPr>
        <w:pStyle w:val="style0"/>
        <w:numPr>
          <w:ilvl w:val="0"/>
          <w:numId w:val="1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Moderately disagree</w:t>
      </w:r>
    </w:p>
    <w:p>
      <w:pPr>
        <w:pStyle w:val="style0"/>
        <w:numPr>
          <w:ilvl w:val="0"/>
          <w:numId w:val="1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Neither disagrees nor agrees</w:t>
      </w:r>
    </w:p>
    <w:p>
      <w:pPr>
        <w:pStyle w:val="style0"/>
        <w:numPr>
          <w:ilvl w:val="0"/>
          <w:numId w:val="1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Moderately agree</w:t>
      </w:r>
    </w:p>
    <w:p>
      <w:pPr>
        <w:pStyle w:val="style0"/>
        <w:numPr>
          <w:ilvl w:val="0"/>
          <w:numId w:val="1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Taxpayersfeelguiltyiftheyareevadingtaxprovidedthattheyremainunnoticed</w:t>
      </w:r>
    </w:p>
    <w:p>
      <w:pPr>
        <w:pStyle w:val="style0"/>
        <w:numPr>
          <w:ilvl w:val="0"/>
          <w:numId w:val="1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disagree</w:t>
      </w:r>
    </w:p>
    <w:p>
      <w:pPr>
        <w:pStyle w:val="style0"/>
        <w:numPr>
          <w:ilvl w:val="0"/>
          <w:numId w:val="1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Moderately disagree</w:t>
      </w:r>
    </w:p>
    <w:p>
      <w:pPr>
        <w:pStyle w:val="style0"/>
        <w:numPr>
          <w:ilvl w:val="0"/>
          <w:numId w:val="1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Neither disagrees nor agrees</w:t>
      </w:r>
    </w:p>
    <w:p>
      <w:pPr>
        <w:pStyle w:val="style0"/>
        <w:numPr>
          <w:ilvl w:val="0"/>
          <w:numId w:val="1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agree</w:t>
      </w:r>
    </w:p>
    <w:p>
      <w:pPr>
        <w:pStyle w:val="style0"/>
        <w:numPr>
          <w:ilvl w:val="0"/>
          <w:numId w:val="1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Taxpayerswhopossessanawarenessofthepenaltiesfornon-compliancearemore compliant than those who do not possess such wariness.</w:t>
      </w:r>
    </w:p>
    <w:p>
      <w:pPr>
        <w:pStyle w:val="style0"/>
        <w:numPr>
          <w:ilvl w:val="0"/>
          <w:numId w:val="2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disagree</w:t>
      </w:r>
    </w:p>
    <w:p>
      <w:pPr>
        <w:pStyle w:val="style0"/>
        <w:numPr>
          <w:ilvl w:val="0"/>
          <w:numId w:val="2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Moderately disagree</w:t>
      </w:r>
    </w:p>
    <w:p>
      <w:pPr>
        <w:pStyle w:val="style0"/>
        <w:numPr>
          <w:ilvl w:val="0"/>
          <w:numId w:val="2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Neither disagrees nor agrees</w:t>
      </w:r>
    </w:p>
    <w:p>
      <w:pPr>
        <w:pStyle w:val="style0"/>
        <w:numPr>
          <w:ilvl w:val="0"/>
          <w:numId w:val="2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agree</w:t>
      </w:r>
    </w:p>
    <w:p>
      <w:pPr>
        <w:pStyle w:val="style0"/>
        <w:numPr>
          <w:ilvl w:val="0"/>
          <w:numId w:val="2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tbl>
      <w:tblPr>
        <w:tblW w:w="9450" w:type="dxa"/>
        <w:tblInd w:w="-355" w:type="dxa"/>
        <w:tblLayout w:type="fixed"/>
        <w:tblCellMar>
          <w:left w:w="0" w:type="dxa"/>
          <w:right w:w="0" w:type="dxa"/>
        </w:tblCellMar>
        <w:tblLook w:val="04A0" w:firstRow="1" w:lastRow="0" w:firstColumn="1" w:lastColumn="0" w:noHBand="0" w:noVBand="1"/>
      </w:tblPr>
      <w:tblGrid>
        <w:gridCol w:w="990"/>
        <w:gridCol w:w="3690"/>
        <w:gridCol w:w="900"/>
        <w:gridCol w:w="720"/>
        <w:gridCol w:w="1260"/>
        <w:gridCol w:w="630"/>
        <w:gridCol w:w="1260"/>
      </w:tblGrid>
      <w:tr>
        <w:trPr>
          <w:trHeight w:val="768" w:hRule="exact"/>
        </w:trPr>
        <w:tc>
          <w:tcPr>
            <w:tcW w:w="99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Ser.no.</w:t>
            </w:r>
          </w:p>
        </w:tc>
        <w:tc>
          <w:tcPr>
            <w:tcW w:w="369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Questions</w:t>
            </w:r>
          </w:p>
        </w:tc>
        <w:tc>
          <w:tcPr>
            <w:tcW w:w="90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Excellent</w:t>
            </w:r>
          </w:p>
        </w:tc>
        <w:tc>
          <w:tcPr>
            <w:tcW w:w="72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Good</w:t>
            </w:r>
          </w:p>
        </w:tc>
        <w:tc>
          <w:tcPr>
            <w:tcW w:w="126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Neithernor</w:t>
            </w:r>
          </w:p>
        </w:tc>
        <w:tc>
          <w:tcPr>
            <w:tcW w:w="63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Poor</w:t>
            </w:r>
          </w:p>
        </w:tc>
        <w:tc>
          <w:tcPr>
            <w:tcW w:w="126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Extremely</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Poor</w:t>
            </w:r>
          </w:p>
        </w:tc>
      </w:tr>
      <w:tr>
        <w:tblPrEx/>
        <w:trPr>
          <w:trHeight w:val="1072" w:hRule="exact"/>
        </w:trPr>
        <w:tc>
          <w:tcPr>
            <w:tcW w:w="99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19</w:t>
            </w:r>
          </w:p>
        </w:tc>
        <w:tc>
          <w:tcPr>
            <w:tcW w:w="369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What do you think about the public</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Attitude toward taxation, including you?</w:t>
            </w:r>
          </w:p>
        </w:tc>
        <w:tc>
          <w:tcPr>
            <w:tcW w:w="90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72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26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63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260" w:type="dxa"/>
            <w:tcBorders>
              <w:top w:val="single" w:sz="4" w:space="0" w:color="000000"/>
              <w:left w:val="single" w:sz="4" w:space="0" w:color="000000"/>
              <w:bottom w:val="single" w:sz="4" w:space="0" w:color="000000"/>
              <w:right w:val="single" w:sz="4" w:space="0" w:color="000000"/>
            </w:tcBorders>
            <w:tcFitText w:val="false"/>
          </w:tcPr>
          <w:p>
            <w:pPr>
              <w:pStyle w:val="style0"/>
              <w:spacing w:after="0" w:lineRule="auto" w:line="360"/>
              <w:ind w:right="115"/>
              <w:jc w:val="both"/>
              <w:rPr>
                <w:rFonts w:ascii="Times New Roman" w:cs="Times New Roman" w:eastAsia="Times New Roman" w:hAnsi="Times New Roman"/>
                <w:sz w:val="24"/>
                <w:szCs w:val="24"/>
              </w:rPr>
            </w:pPr>
          </w:p>
        </w:tc>
      </w:tr>
    </w:tbl>
    <w:p>
      <w:pPr>
        <w:pStyle w:val="style0"/>
        <w:spacing w:after="0" w:lineRule="auto" w:line="360"/>
        <w:ind w:right="115"/>
        <w:jc w:val="both"/>
        <w:rPr>
          <w:rFonts w:ascii="Times New Roman" w:cs="Times New Roman" w:eastAsia="Times New Roman" w:hAnsi="Times New Roman"/>
          <w:sz w:val="24"/>
          <w:szCs w:val="24"/>
        </w:rPr>
      </w:pP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As the culture of paying tax in a society is high, the level of tax compliance is also high</w:t>
      </w:r>
    </w:p>
    <w:p>
      <w:pPr>
        <w:pStyle w:val="style0"/>
        <w:numPr>
          <w:ilvl w:val="0"/>
          <w:numId w:val="2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disagree</w:t>
      </w:r>
    </w:p>
    <w:p>
      <w:pPr>
        <w:pStyle w:val="style0"/>
        <w:numPr>
          <w:ilvl w:val="0"/>
          <w:numId w:val="2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disagree</w:t>
      </w:r>
    </w:p>
    <w:p>
      <w:pPr>
        <w:pStyle w:val="style0"/>
        <w:numPr>
          <w:ilvl w:val="0"/>
          <w:numId w:val="2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Neither disagrees nor agrees</w:t>
      </w:r>
    </w:p>
    <w:p>
      <w:pPr>
        <w:pStyle w:val="style0"/>
        <w:numPr>
          <w:ilvl w:val="0"/>
          <w:numId w:val="2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Moderately agree</w:t>
      </w:r>
    </w:p>
    <w:p>
      <w:pPr>
        <w:pStyle w:val="style0"/>
        <w:numPr>
          <w:ilvl w:val="0"/>
          <w:numId w:val="2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Do you agree that cultural differences have direct impact on ethical values and moral development and ultimately affect tax compliance decisions?</w:t>
      </w:r>
    </w:p>
    <w:p>
      <w:pPr>
        <w:pStyle w:val="style0"/>
        <w:numPr>
          <w:ilvl w:val="0"/>
          <w:numId w:val="2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disagree</w:t>
      </w:r>
    </w:p>
    <w:p>
      <w:pPr>
        <w:pStyle w:val="style0"/>
        <w:numPr>
          <w:ilvl w:val="0"/>
          <w:numId w:val="2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disagree</w:t>
      </w:r>
    </w:p>
    <w:p>
      <w:pPr>
        <w:pStyle w:val="style0"/>
        <w:numPr>
          <w:ilvl w:val="0"/>
          <w:numId w:val="2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Neither disagrees nor agrees</w:t>
      </w:r>
    </w:p>
    <w:p>
      <w:pPr>
        <w:pStyle w:val="style0"/>
        <w:numPr>
          <w:ilvl w:val="0"/>
          <w:numId w:val="2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agree</w:t>
      </w:r>
    </w:p>
    <w:p>
      <w:pPr>
        <w:pStyle w:val="style0"/>
        <w:numPr>
          <w:ilvl w:val="0"/>
          <w:numId w:val="2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In societies with a tradition (culture of high compliance with tax law, few taxpayers would attempt tax evasion strategies.</w:t>
      </w:r>
    </w:p>
    <w:p>
      <w:pPr>
        <w:pStyle w:val="style0"/>
        <w:numPr>
          <w:ilvl w:val="0"/>
          <w:numId w:val="2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disagree</w:t>
      </w:r>
    </w:p>
    <w:p>
      <w:pPr>
        <w:pStyle w:val="style0"/>
        <w:numPr>
          <w:ilvl w:val="0"/>
          <w:numId w:val="2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Moderately disagree</w:t>
      </w:r>
    </w:p>
    <w:p>
      <w:pPr>
        <w:pStyle w:val="style0"/>
        <w:numPr>
          <w:ilvl w:val="0"/>
          <w:numId w:val="2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Neither disagrees nor agrees</w:t>
      </w:r>
    </w:p>
    <w:p>
      <w:pPr>
        <w:pStyle w:val="style0"/>
        <w:numPr>
          <w:ilvl w:val="0"/>
          <w:numId w:val="2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Moderately agree </w:t>
      </w:r>
    </w:p>
    <w:p>
      <w:pPr>
        <w:pStyle w:val="style0"/>
        <w:numPr>
          <w:ilvl w:val="0"/>
          <w:numId w:val="2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The noncompliance of other taxpayers’ has a negative impaction compliant taxpayers ‘Behavior</w:t>
      </w:r>
    </w:p>
    <w:p>
      <w:pPr>
        <w:pStyle w:val="style0"/>
        <w:numPr>
          <w:ilvl w:val="0"/>
          <w:numId w:val="2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Strongly disagree</w:t>
      </w:r>
    </w:p>
    <w:p>
      <w:pPr>
        <w:pStyle w:val="style0"/>
        <w:numPr>
          <w:ilvl w:val="0"/>
          <w:numId w:val="2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disagree</w:t>
      </w:r>
    </w:p>
    <w:p>
      <w:pPr>
        <w:pStyle w:val="style0"/>
        <w:numPr>
          <w:ilvl w:val="0"/>
          <w:numId w:val="2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Neither disagrees nor agrees</w:t>
      </w:r>
    </w:p>
    <w:p>
      <w:pPr>
        <w:pStyle w:val="style0"/>
        <w:numPr>
          <w:ilvl w:val="0"/>
          <w:numId w:val="2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agree</w:t>
      </w:r>
    </w:p>
    <w:p>
      <w:pPr>
        <w:pStyle w:val="style0"/>
        <w:numPr>
          <w:ilvl w:val="0"/>
          <w:numId w:val="2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Do you agree that taxpayers including you may commit non-compliance as long as your non- compliances consistent within-group expectations and norms?</w:t>
      </w:r>
    </w:p>
    <w:p>
      <w:pPr>
        <w:pStyle w:val="style0"/>
        <w:numPr>
          <w:ilvl w:val="0"/>
          <w:numId w:val="2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disagree</w:t>
      </w:r>
    </w:p>
    <w:p>
      <w:pPr>
        <w:pStyle w:val="style0"/>
        <w:numPr>
          <w:ilvl w:val="0"/>
          <w:numId w:val="2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disagree</w:t>
      </w:r>
    </w:p>
    <w:p>
      <w:pPr>
        <w:pStyle w:val="style0"/>
        <w:numPr>
          <w:ilvl w:val="0"/>
          <w:numId w:val="2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Neither disagrees nor agrees</w:t>
      </w:r>
    </w:p>
    <w:p>
      <w:pPr>
        <w:pStyle w:val="style0"/>
        <w:numPr>
          <w:ilvl w:val="0"/>
          <w:numId w:val="2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agree</w:t>
      </w:r>
    </w:p>
    <w:p>
      <w:pPr>
        <w:pStyle w:val="style0"/>
        <w:numPr>
          <w:ilvl w:val="0"/>
          <w:numId w:val="2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As tax payers knows many people in group important to them are evading taxes, their commitment to comply will be weaker.</w:t>
      </w:r>
    </w:p>
    <w:p>
      <w:pPr>
        <w:pStyle w:val="style0"/>
        <w:numPr>
          <w:ilvl w:val="0"/>
          <w:numId w:val="2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disagree</w:t>
      </w:r>
    </w:p>
    <w:p>
      <w:pPr>
        <w:pStyle w:val="style0"/>
        <w:numPr>
          <w:ilvl w:val="0"/>
          <w:numId w:val="2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disagree</w:t>
      </w:r>
    </w:p>
    <w:p>
      <w:pPr>
        <w:pStyle w:val="style0"/>
        <w:numPr>
          <w:ilvl w:val="0"/>
          <w:numId w:val="2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Neither disagrees nor agrees</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 Moderately agree</w:t>
      </w:r>
    </w:p>
    <w:p>
      <w:pPr>
        <w:pStyle w:val="style0"/>
        <w:numPr>
          <w:ilvl w:val="0"/>
          <w:numId w:val="2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Would you agree that a good political system has positive impaction tax payers’ attitude? Towards the tax system?</w:t>
      </w:r>
    </w:p>
    <w:p>
      <w:pPr>
        <w:pStyle w:val="style0"/>
        <w:numPr>
          <w:ilvl w:val="0"/>
          <w:numId w:val="2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disagree</w:t>
      </w:r>
    </w:p>
    <w:p>
      <w:pPr>
        <w:pStyle w:val="style0"/>
        <w:numPr>
          <w:ilvl w:val="0"/>
          <w:numId w:val="2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disagree</w:t>
      </w:r>
    </w:p>
    <w:p>
      <w:pPr>
        <w:pStyle w:val="style0"/>
        <w:numPr>
          <w:ilvl w:val="0"/>
          <w:numId w:val="2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Neither disagrees nor agrees</w:t>
      </w:r>
    </w:p>
    <w:p>
      <w:pPr>
        <w:pStyle w:val="style0"/>
        <w:numPr>
          <w:ilvl w:val="0"/>
          <w:numId w:val="2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agree</w:t>
      </w:r>
    </w:p>
    <w:p>
      <w:pPr>
        <w:pStyle w:val="style0"/>
        <w:numPr>
          <w:ilvl w:val="0"/>
          <w:numId w:val="2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Do you agree that people are getting comparable social services from the government for theta they pay?</w:t>
      </w:r>
    </w:p>
    <w:p>
      <w:pPr>
        <w:pStyle w:val="style0"/>
        <w:numPr>
          <w:ilvl w:val="0"/>
          <w:numId w:val="2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disagree</w:t>
      </w:r>
    </w:p>
    <w:p>
      <w:pPr>
        <w:pStyle w:val="style0"/>
        <w:numPr>
          <w:ilvl w:val="0"/>
          <w:numId w:val="2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disagree</w:t>
      </w:r>
    </w:p>
    <w:p>
      <w:pPr>
        <w:pStyle w:val="style0"/>
        <w:numPr>
          <w:ilvl w:val="0"/>
          <w:numId w:val="2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Neither disagrees nor agrees</w:t>
      </w:r>
    </w:p>
    <w:p>
      <w:pPr>
        <w:pStyle w:val="style0"/>
        <w:numPr>
          <w:ilvl w:val="0"/>
          <w:numId w:val="2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agree</w:t>
      </w:r>
    </w:p>
    <w:p>
      <w:pPr>
        <w:pStyle w:val="style0"/>
        <w:numPr>
          <w:ilvl w:val="0"/>
          <w:numId w:val="2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Do you agree that taxpayers’ behavior including you is affected by your satisfaction or lack of satisfaction with your terms of trade with the government?</w:t>
      </w:r>
    </w:p>
    <w:p>
      <w:pPr>
        <w:pStyle w:val="style0"/>
        <w:numPr>
          <w:ilvl w:val="0"/>
          <w:numId w:val="2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disagree</w:t>
      </w:r>
    </w:p>
    <w:p>
      <w:pPr>
        <w:pStyle w:val="style0"/>
        <w:numPr>
          <w:ilvl w:val="0"/>
          <w:numId w:val="2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disagree</w:t>
      </w:r>
    </w:p>
    <w:p>
      <w:pPr>
        <w:pStyle w:val="style0"/>
        <w:numPr>
          <w:ilvl w:val="0"/>
          <w:numId w:val="2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Neither disagrees nor agrees</w:t>
      </w:r>
    </w:p>
    <w:p>
      <w:pPr>
        <w:pStyle w:val="style0"/>
        <w:numPr>
          <w:ilvl w:val="0"/>
          <w:numId w:val="2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agree</w:t>
      </w:r>
    </w:p>
    <w:p>
      <w:pPr>
        <w:pStyle w:val="style0"/>
        <w:numPr>
          <w:ilvl w:val="0"/>
          <w:numId w:val="2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Do you agree that taxpayer’s attitude including you towards the general level of taxation and Tax compliance independent on attitudes about the desirability of the government programs and the government itself?</w:t>
      </w:r>
    </w:p>
    <w:p>
      <w:pPr>
        <w:pStyle w:val="style0"/>
        <w:numPr>
          <w:ilvl w:val="0"/>
          <w:numId w:val="3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disagree</w:t>
      </w:r>
    </w:p>
    <w:p>
      <w:pPr>
        <w:pStyle w:val="style0"/>
        <w:numPr>
          <w:ilvl w:val="0"/>
          <w:numId w:val="3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disagree</w:t>
      </w:r>
    </w:p>
    <w:p>
      <w:pPr>
        <w:pStyle w:val="style0"/>
        <w:numPr>
          <w:ilvl w:val="0"/>
          <w:numId w:val="3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Neither disagrees nor agrees</w:t>
      </w:r>
    </w:p>
    <w:p>
      <w:pPr>
        <w:pStyle w:val="style0"/>
        <w:numPr>
          <w:ilvl w:val="0"/>
          <w:numId w:val="3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agree</w:t>
      </w:r>
    </w:p>
    <w:p>
      <w:pPr>
        <w:pStyle w:val="style0"/>
        <w:numPr>
          <w:ilvl w:val="0"/>
          <w:numId w:val="3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 agree</w:t>
      </w:r>
    </w:p>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Appendix A: Questions related to tax payer’s compliance (dependent variable)</w:t>
      </w:r>
    </w:p>
    <w:tbl>
      <w:tblPr>
        <w:tblStyle w:val="style154"/>
        <w:tblW w:w="10710" w:type="dxa"/>
        <w:tblInd w:w="-792" w:type="dxa"/>
        <w:tblLayout w:type="fixed"/>
        <w:tblLook w:val="04A0" w:firstRow="1" w:lastRow="0" w:firstColumn="1" w:lastColumn="0" w:noHBand="0" w:noVBand="1"/>
      </w:tblPr>
      <w:tblGrid>
        <w:gridCol w:w="990"/>
        <w:gridCol w:w="2880"/>
        <w:gridCol w:w="1170"/>
        <w:gridCol w:w="1440"/>
        <w:gridCol w:w="1620"/>
        <w:gridCol w:w="1440"/>
        <w:gridCol w:w="1170"/>
      </w:tblGrid>
      <w:tr>
        <w:trPr>
          <w:trHeight w:val="620" w:hRule="atLeast"/>
        </w:trPr>
        <w:tc>
          <w:tcPr>
            <w:tcW w:w="99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Ser.no. </w:t>
            </w:r>
          </w:p>
        </w:tc>
        <w:tc>
          <w:tcPr>
            <w:tcW w:w="288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Questions</w:t>
            </w:r>
          </w:p>
        </w:tc>
        <w:tc>
          <w:tcPr>
            <w:tcW w:w="117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Disagree</w:t>
            </w:r>
          </w:p>
        </w:tc>
        <w:tc>
          <w:tcPr>
            <w:tcW w:w="144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disagree</w:t>
            </w:r>
          </w:p>
        </w:tc>
        <w:tc>
          <w:tcPr>
            <w:tcW w:w="162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Neither agree nor disagree</w:t>
            </w:r>
          </w:p>
        </w:tc>
        <w:tc>
          <w:tcPr>
            <w:tcW w:w="144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Moderately agree</w:t>
            </w:r>
          </w:p>
        </w:tc>
        <w:tc>
          <w:tcPr>
            <w:tcW w:w="117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Strongly</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Agree</w:t>
            </w:r>
          </w:p>
        </w:tc>
      </w:tr>
      <w:tr>
        <w:tblPrEx/>
        <w:trPr>
          <w:trHeight w:val="593" w:hRule="atLeast"/>
        </w:trPr>
        <w:tc>
          <w:tcPr>
            <w:tcW w:w="990" w:type="dxa"/>
            <w:tcBorders/>
            <w:tcFitText w:val="false"/>
          </w:tcPr>
          <w:p>
            <w:pPr>
              <w:pStyle w:val="style0"/>
              <w:numPr>
                <w:ilvl w:val="0"/>
                <w:numId w:val="33"/>
              </w:numPr>
              <w:spacing w:after="0" w:lineRule="auto" w:line="360"/>
              <w:ind w:right="115"/>
              <w:jc w:val="both"/>
              <w:rPr>
                <w:rFonts w:ascii="Times New Roman" w:cs="Times New Roman" w:eastAsia="Times New Roman" w:hAnsi="Times New Roman"/>
                <w:sz w:val="24"/>
                <w:szCs w:val="24"/>
              </w:rPr>
            </w:pPr>
          </w:p>
        </w:tc>
        <w:tc>
          <w:tcPr>
            <w:tcW w:w="288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Tax payers should evade tax if tax rates are too high</w:t>
            </w:r>
          </w:p>
        </w:tc>
        <w:tc>
          <w:tcPr>
            <w:tcW w:w="117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44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62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44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17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r>
      <w:tr>
        <w:tblPrEx/>
        <w:trPr>
          <w:trHeight w:val="566" w:hRule="atLeast"/>
        </w:trPr>
        <w:tc>
          <w:tcPr>
            <w:tcW w:w="990" w:type="dxa"/>
            <w:tcBorders/>
            <w:tcFitText w:val="false"/>
          </w:tcPr>
          <w:p>
            <w:pPr>
              <w:pStyle w:val="style0"/>
              <w:numPr>
                <w:ilvl w:val="0"/>
                <w:numId w:val="33"/>
              </w:numPr>
              <w:spacing w:after="0" w:lineRule="auto" w:line="360"/>
              <w:ind w:right="115"/>
              <w:jc w:val="both"/>
              <w:rPr>
                <w:rFonts w:ascii="Times New Roman" w:cs="Times New Roman" w:eastAsia="Times New Roman" w:hAnsi="Times New Roman"/>
                <w:sz w:val="24"/>
                <w:szCs w:val="24"/>
              </w:rPr>
            </w:pPr>
          </w:p>
        </w:tc>
        <w:tc>
          <w:tcPr>
            <w:tcW w:w="288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Tax payers should evade tax if the tax system is unfair </w:t>
            </w:r>
          </w:p>
        </w:tc>
        <w:tc>
          <w:tcPr>
            <w:tcW w:w="117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44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62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44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17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r>
      <w:tr>
        <w:tblPrEx/>
        <w:trPr/>
        <w:tc>
          <w:tcPr>
            <w:tcW w:w="990" w:type="dxa"/>
            <w:tcBorders/>
            <w:tcFitText w:val="false"/>
          </w:tcPr>
          <w:p>
            <w:pPr>
              <w:pStyle w:val="style0"/>
              <w:numPr>
                <w:ilvl w:val="0"/>
                <w:numId w:val="33"/>
              </w:numPr>
              <w:spacing w:after="0" w:lineRule="auto" w:line="360"/>
              <w:ind w:right="115"/>
              <w:jc w:val="both"/>
              <w:rPr>
                <w:rFonts w:ascii="Times New Roman" w:cs="Times New Roman" w:eastAsia="Times New Roman" w:hAnsi="Times New Roman"/>
                <w:sz w:val="24"/>
                <w:szCs w:val="24"/>
              </w:rPr>
            </w:pPr>
          </w:p>
        </w:tc>
        <w:tc>
          <w:tcPr>
            <w:tcW w:w="288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Tax payers should evade tax if a large portion of the money collected from tax is wasted.</w:t>
            </w:r>
          </w:p>
        </w:tc>
        <w:tc>
          <w:tcPr>
            <w:tcW w:w="117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44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62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44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17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r>
      <w:tr>
        <w:tblPrEx/>
        <w:trPr/>
        <w:tc>
          <w:tcPr>
            <w:tcW w:w="990" w:type="dxa"/>
            <w:tcBorders/>
            <w:tcFitText w:val="false"/>
          </w:tcPr>
          <w:p>
            <w:pPr>
              <w:pStyle w:val="style0"/>
              <w:numPr>
                <w:ilvl w:val="0"/>
                <w:numId w:val="33"/>
              </w:numPr>
              <w:spacing w:after="0" w:lineRule="auto" w:line="360"/>
              <w:ind w:right="115"/>
              <w:jc w:val="both"/>
              <w:rPr>
                <w:rFonts w:ascii="Times New Roman" w:cs="Times New Roman" w:eastAsia="Times New Roman" w:hAnsi="Times New Roman"/>
                <w:sz w:val="24"/>
                <w:szCs w:val="24"/>
              </w:rPr>
            </w:pPr>
          </w:p>
        </w:tc>
        <w:tc>
          <w:tcPr>
            <w:tcW w:w="288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Tax payers should evade tax if the probability of getting caught is low </w:t>
            </w:r>
          </w:p>
        </w:tc>
        <w:tc>
          <w:tcPr>
            <w:tcW w:w="117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44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62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44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17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r>
      <w:tr>
        <w:tblPrEx/>
        <w:trPr/>
        <w:tc>
          <w:tcPr>
            <w:tcW w:w="990" w:type="dxa"/>
            <w:tcBorders/>
            <w:tcFitText w:val="false"/>
          </w:tcPr>
          <w:p>
            <w:pPr>
              <w:pStyle w:val="style0"/>
              <w:numPr>
                <w:ilvl w:val="0"/>
                <w:numId w:val="33"/>
              </w:numPr>
              <w:spacing w:after="0" w:lineRule="auto" w:line="360"/>
              <w:ind w:right="115"/>
              <w:jc w:val="both"/>
              <w:rPr>
                <w:rFonts w:ascii="Times New Roman" w:cs="Times New Roman" w:eastAsia="Times New Roman" w:hAnsi="Times New Roman"/>
                <w:sz w:val="24"/>
                <w:szCs w:val="24"/>
              </w:rPr>
            </w:pPr>
          </w:p>
        </w:tc>
        <w:tc>
          <w:tcPr>
            <w:tcW w:w="288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Evading tax due to lack of ability to pay should not be considered as crime /problem</w:t>
            </w:r>
          </w:p>
        </w:tc>
        <w:tc>
          <w:tcPr>
            <w:tcW w:w="117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44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62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44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17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r>
      <w:tr>
        <w:tblPrEx/>
        <w:trPr/>
        <w:tc>
          <w:tcPr>
            <w:tcW w:w="990" w:type="dxa"/>
            <w:tcBorders/>
            <w:tcFitText w:val="false"/>
          </w:tcPr>
          <w:p>
            <w:pPr>
              <w:pStyle w:val="style0"/>
              <w:numPr>
                <w:ilvl w:val="0"/>
                <w:numId w:val="33"/>
              </w:numPr>
              <w:spacing w:after="0" w:lineRule="auto" w:line="360"/>
              <w:ind w:right="115"/>
              <w:jc w:val="both"/>
              <w:rPr>
                <w:rFonts w:ascii="Times New Roman" w:cs="Times New Roman" w:eastAsia="Times New Roman" w:hAnsi="Times New Roman"/>
                <w:sz w:val="24"/>
                <w:szCs w:val="24"/>
              </w:rPr>
            </w:pPr>
          </w:p>
        </w:tc>
        <w:tc>
          <w:tcPr>
            <w:tcW w:w="288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Tax payers should evade tax If everyone is doing it.</w:t>
            </w:r>
          </w:p>
        </w:tc>
        <w:tc>
          <w:tcPr>
            <w:tcW w:w="117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44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62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44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17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r>
      <w:tr>
        <w:tblPrEx/>
        <w:trPr>
          <w:trHeight w:val="665" w:hRule="atLeast"/>
        </w:trPr>
        <w:tc>
          <w:tcPr>
            <w:tcW w:w="990" w:type="dxa"/>
            <w:tcBorders/>
            <w:tcFitText w:val="false"/>
          </w:tcPr>
          <w:p>
            <w:pPr>
              <w:pStyle w:val="style0"/>
              <w:numPr>
                <w:ilvl w:val="0"/>
                <w:numId w:val="33"/>
              </w:numPr>
              <w:spacing w:after="0" w:lineRule="auto" w:line="360"/>
              <w:ind w:right="115"/>
              <w:jc w:val="both"/>
              <w:rPr>
                <w:rFonts w:ascii="Times New Roman" w:cs="Times New Roman" w:eastAsia="Times New Roman" w:hAnsi="Times New Roman"/>
                <w:sz w:val="24"/>
                <w:szCs w:val="24"/>
              </w:rPr>
            </w:pPr>
          </w:p>
        </w:tc>
        <w:tc>
          <w:tcPr>
            <w:tcW w:w="288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Generally, tax evasion should not be considerers a crime. </w:t>
            </w:r>
          </w:p>
        </w:tc>
        <w:tc>
          <w:tcPr>
            <w:tcW w:w="117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44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62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44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17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r>
    </w:tbl>
    <w:p>
      <w:pPr>
        <w:pStyle w:val="style0"/>
        <w:spacing w:after="0" w:lineRule="auto" w:line="360"/>
        <w:ind w:right="115"/>
        <w:jc w:val="both"/>
        <w:rPr>
          <w:rFonts w:ascii="Times New Roman" w:cs="Times New Roman" w:eastAsia="Times New Roman" w:hAnsi="Times New Roman"/>
          <w:b/>
          <w:sz w:val="24"/>
          <w:szCs w:val="24"/>
        </w:rPr>
      </w:pPr>
    </w:p>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sz w:val="24"/>
          <w:szCs w:val="24"/>
        </w:rPr>
        <w:t>State if any</w:t>
      </w:r>
      <w:r>
        <w:rPr>
          <w:rFonts w:ascii="Times New Roman" w:cs="Times New Roman" w:eastAsia="Times New Roman" w:hAnsi="Times New Roman"/>
          <w:b/>
          <w:sz w:val="24"/>
          <w:szCs w:val="24"/>
        </w:rPr>
        <w:t>: ___________________________________________________________</w:t>
      </w:r>
    </w:p>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_______________________________________________________________________</w:t>
      </w:r>
    </w:p>
    <w:p>
      <w:pPr>
        <w:pStyle w:val="style0"/>
        <w:numPr>
          <w:ilvl w:val="0"/>
          <w:numId w:val="3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Give your general comment on the overall tax system and how positive attitude towards taxation can be developed.</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_________________________________________________</w:t>
      </w:r>
      <w:r>
        <w:rPr>
          <w:rFonts w:ascii="Times New Roman" w:cs="Times New Roman" w:eastAsia="Times New Roman" w:hAnsi="Times New Roman"/>
          <w:sz w:val="24"/>
          <w:szCs w:val="24"/>
        </w:rPr>
        <w:t>_______________________________</w:t>
      </w:r>
      <w:r>
        <w:rPr>
          <w:rFonts w:ascii="Times New Roman" w:cs="Times New Roman" w:eastAsia="Times New Roman" w:hAnsi="Times New Roman"/>
          <w:sz w:val="24"/>
          <w:szCs w:val="24"/>
        </w:rPr>
        <w:t>__________________________________________________</w:t>
      </w:r>
      <w:r>
        <w:rPr>
          <w:rFonts w:ascii="Times New Roman" w:cs="Times New Roman" w:eastAsia="Times New Roman" w:hAnsi="Times New Roman"/>
          <w:sz w:val="24"/>
          <w:szCs w:val="24"/>
        </w:rPr>
        <w:t>________________________</w:t>
      </w:r>
    </w:p>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 xml:space="preserve">Appendix D: Number of Large Tax Payers in Burayu Sub-City </w:t>
      </w:r>
    </w:p>
    <w:tbl>
      <w:tblPr>
        <w:tblStyle w:val="style154"/>
        <w:tblW w:w="8280" w:type="dxa"/>
        <w:tblInd w:w="-252" w:type="dxa"/>
        <w:tblLook w:val="04A0" w:firstRow="1" w:lastRow="0" w:firstColumn="1" w:lastColumn="0" w:noHBand="0" w:noVBand="1"/>
      </w:tblPr>
      <w:tblGrid>
        <w:gridCol w:w="630"/>
        <w:gridCol w:w="2250"/>
        <w:gridCol w:w="3510"/>
        <w:gridCol w:w="1890"/>
      </w:tblGrid>
      <w:tr>
        <w:trPr/>
        <w:tc>
          <w:tcPr>
            <w:tcW w:w="63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No</w:t>
            </w:r>
          </w:p>
        </w:tc>
        <w:tc>
          <w:tcPr>
            <w:tcW w:w="225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Kebele </w:t>
            </w:r>
          </w:p>
        </w:tc>
        <w:tc>
          <w:tcPr>
            <w:tcW w:w="351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Total  taxpayers</w:t>
            </w:r>
          </w:p>
        </w:tc>
        <w:tc>
          <w:tcPr>
            <w:tcW w:w="189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Category “A’’</w:t>
            </w:r>
          </w:p>
        </w:tc>
      </w:tr>
      <w:tr>
        <w:tblPrEx/>
        <w:trPr/>
        <w:tc>
          <w:tcPr>
            <w:tcW w:w="63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w:t>
            </w:r>
          </w:p>
        </w:tc>
        <w:tc>
          <w:tcPr>
            <w:tcW w:w="225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Gefersa burayu</w:t>
            </w:r>
          </w:p>
        </w:tc>
        <w:tc>
          <w:tcPr>
            <w:tcW w:w="351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145</w:t>
            </w:r>
          </w:p>
        </w:tc>
        <w:tc>
          <w:tcPr>
            <w:tcW w:w="189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145</w:t>
            </w:r>
          </w:p>
        </w:tc>
      </w:tr>
      <w:tr>
        <w:tblPrEx/>
        <w:trPr/>
        <w:tc>
          <w:tcPr>
            <w:tcW w:w="63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2</w:t>
            </w:r>
          </w:p>
        </w:tc>
        <w:tc>
          <w:tcPr>
            <w:tcW w:w="225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Kata</w:t>
            </w:r>
          </w:p>
        </w:tc>
        <w:tc>
          <w:tcPr>
            <w:tcW w:w="351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132</w:t>
            </w:r>
          </w:p>
        </w:tc>
        <w:tc>
          <w:tcPr>
            <w:tcW w:w="189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132</w:t>
            </w:r>
          </w:p>
        </w:tc>
      </w:tr>
      <w:tr>
        <w:tblPrEx/>
        <w:trPr/>
        <w:tc>
          <w:tcPr>
            <w:tcW w:w="63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3</w:t>
            </w:r>
          </w:p>
        </w:tc>
        <w:tc>
          <w:tcPr>
            <w:tcW w:w="225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Hane dima</w:t>
            </w:r>
          </w:p>
        </w:tc>
        <w:tc>
          <w:tcPr>
            <w:tcW w:w="351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130</w:t>
            </w:r>
          </w:p>
        </w:tc>
        <w:tc>
          <w:tcPr>
            <w:tcW w:w="189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130</w:t>
            </w:r>
          </w:p>
        </w:tc>
      </w:tr>
      <w:tr>
        <w:tblPrEx/>
        <w:trPr/>
        <w:tc>
          <w:tcPr>
            <w:tcW w:w="63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4</w:t>
            </w:r>
          </w:p>
        </w:tc>
        <w:tc>
          <w:tcPr>
            <w:tcW w:w="225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Ejersa goro</w:t>
            </w:r>
          </w:p>
        </w:tc>
        <w:tc>
          <w:tcPr>
            <w:tcW w:w="351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108</w:t>
            </w:r>
          </w:p>
        </w:tc>
        <w:tc>
          <w:tcPr>
            <w:tcW w:w="189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108</w:t>
            </w:r>
          </w:p>
        </w:tc>
      </w:tr>
      <w:tr>
        <w:tblPrEx/>
        <w:trPr>
          <w:trHeight w:val="287" w:hRule="atLeast"/>
        </w:trPr>
        <w:tc>
          <w:tcPr>
            <w:tcW w:w="63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225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Total </w:t>
            </w:r>
          </w:p>
        </w:tc>
        <w:tc>
          <w:tcPr>
            <w:tcW w:w="351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515</w:t>
            </w:r>
          </w:p>
        </w:tc>
        <w:tc>
          <w:tcPr>
            <w:tcW w:w="189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515</w:t>
            </w:r>
          </w:p>
        </w:tc>
      </w:tr>
    </w:tbl>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sz w:val="24"/>
          <w:szCs w:val="24"/>
        </w:rPr>
        <w:t>Source: Burayu Sub-City Revenue and Customs Authority Office.</w:t>
      </w:r>
    </w:p>
    <w:p>
      <w:pPr>
        <w:pStyle w:val="style0"/>
        <w:spacing w:after="0" w:lineRule="auto" w:line="360"/>
        <w:ind w:right="115"/>
        <w:jc w:val="both"/>
        <w:rPr>
          <w:rFonts w:ascii="Times New Roman" w:cs="Times New Roman" w:eastAsia="Times New Roman" w:hAnsi="Times New Roman"/>
          <w:b/>
          <w:sz w:val="24"/>
          <w:szCs w:val="24"/>
        </w:rPr>
      </w:pPr>
    </w:p>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Thank you!!!</w:t>
      </w:r>
    </w:p>
    <w:p>
      <w:pPr>
        <w:pStyle w:val="style0"/>
        <w:spacing w:after="0" w:lineRule="auto" w:line="360"/>
        <w:ind w:right="115"/>
        <w:jc w:val="both"/>
        <w:rPr>
          <w:rFonts w:ascii="Times New Roman" w:cs="Times New Roman" w:eastAsia="Times New Roman" w:hAnsi="Times New Roman"/>
          <w:b/>
          <w:sz w:val="24"/>
          <w:szCs w:val="24"/>
        </w:rPr>
      </w:pPr>
    </w:p>
    <w:p>
      <w:pPr>
        <w:pStyle w:val="style0"/>
        <w:spacing w:after="0" w:lineRule="auto" w:line="360"/>
        <w:ind w:right="115"/>
        <w:jc w:val="both"/>
        <w:rPr>
          <w:rFonts w:ascii="Times New Roman" w:cs="Times New Roman" w:eastAsia="Times New Roman" w:hAnsi="Times New Roman"/>
          <w:b/>
          <w:sz w:val="24"/>
          <w:szCs w:val="24"/>
        </w:rPr>
      </w:pPr>
    </w:p>
    <w:bookmarkStart w:id="177" w:name="_Toc204249805"/>
    <w:p>
      <w:pPr>
        <w:pStyle w:val="style3"/>
        <w:rPr>
          <w:rFonts w:ascii="Times New Roman" w:cs="Times New Roman" w:hAnsi="Times New Roman"/>
          <w:color w:val="auto"/>
          <w:sz w:val="24"/>
          <w:szCs w:val="24"/>
        </w:rPr>
      </w:pPr>
      <w:r>
        <w:rPr>
          <w:rFonts w:ascii="Times New Roman" w:cs="Times New Roman" w:hAnsi="Times New Roman"/>
          <w:color w:val="auto"/>
          <w:sz w:val="24"/>
          <w:szCs w:val="24"/>
        </w:rPr>
        <w:t>Appendix B: Respondents Questionnaire (Afaan Oromoo Version)</w:t>
      </w:r>
      <w:bookmarkEnd w:id="177"/>
    </w:p>
    <w:p>
      <w:pPr>
        <w:pStyle w:val="style0"/>
        <w:spacing w:after="0" w:lineRule="auto" w:line="360"/>
        <w:ind w:right="115"/>
        <w:jc w:val="center"/>
        <w:rPr>
          <w:rFonts w:ascii="Times New Roman" w:cs="Times New Roman" w:eastAsia="Times New Roman" w:hAnsi="Times New Roman"/>
          <w:b/>
          <w:sz w:val="24"/>
          <w:szCs w:val="24"/>
        </w:rPr>
      </w:pPr>
      <w:r>
        <w:rPr>
          <w:rFonts w:ascii="Times New Roman" w:cs="Times New Roman" w:eastAsia="Times New Roman" w:hAnsi="Times New Roman"/>
          <w:b/>
          <w:sz w:val="24"/>
          <w:szCs w:val="24"/>
        </w:rPr>
        <w:t>YUUNIVARSIITII AMBOO</w:t>
      </w:r>
    </w:p>
    <w:p>
      <w:pPr>
        <w:pStyle w:val="style0"/>
        <w:spacing w:after="0" w:lineRule="auto" w:line="360"/>
        <w:ind w:right="115"/>
        <w:jc w:val="center"/>
        <w:rPr>
          <w:rFonts w:ascii="Times New Roman" w:cs="Times New Roman" w:eastAsia="Times New Roman" w:hAnsi="Times New Roman"/>
          <w:b/>
          <w:sz w:val="24"/>
          <w:szCs w:val="24"/>
        </w:rPr>
      </w:pPr>
      <w:r>
        <w:rPr>
          <w:rFonts w:ascii="Times New Roman" w:cs="Times New Roman" w:eastAsia="Times New Roman" w:hAnsi="Times New Roman"/>
          <w:b/>
          <w:sz w:val="24"/>
          <w:szCs w:val="24"/>
        </w:rPr>
        <w:t>KOLLEEJJII BIZINESII FI DIINAGDEE</w:t>
      </w:r>
    </w:p>
    <w:p>
      <w:pPr>
        <w:pStyle w:val="style0"/>
        <w:spacing w:after="0" w:lineRule="auto" w:line="360"/>
        <w:ind w:right="115"/>
        <w:jc w:val="center"/>
        <w:rPr>
          <w:rFonts w:ascii="Times New Roman" w:cs="Times New Roman" w:eastAsia="Times New Roman" w:hAnsi="Times New Roman"/>
          <w:b/>
          <w:sz w:val="24"/>
          <w:szCs w:val="24"/>
        </w:rPr>
      </w:pPr>
      <w:r>
        <w:rPr>
          <w:rFonts w:ascii="Times New Roman" w:cs="Times New Roman" w:eastAsia="Times New Roman" w:hAnsi="Times New Roman"/>
          <w:b/>
          <w:sz w:val="24"/>
          <w:szCs w:val="24"/>
        </w:rPr>
        <w:t>MUUMMEE HERREGAA FI FAAYINAANSII</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Gaaffiin Kun odeeffannoo gabaasa qorannoo qophaa’uuf barbaachisu mata duree “Madaallii kaffaltoonni gibiraa fedhii isaaniitiin gibira Ramaddii “A”: Dhimma bulchinsa kutaa magalaa Buraayyuu, Shagar, Oromiyaa, Itoophiyaa” jedhuun madaaluuf Kan akeekedha. Odeeffannoon isin kennitan milkaa’ina qorannoo kanaaf gatii guddaa akka qabu </w:t>
      </w:r>
      <w:r>
        <w:rPr>
          <w:rFonts w:ascii="Times New Roman" w:cs="Times New Roman" w:eastAsia="Times New Roman" w:hAnsi="Times New Roman"/>
          <w:sz w:val="24"/>
          <w:szCs w:val="24"/>
        </w:rPr>
        <w:t>ni</w:t>
      </w:r>
      <w:r>
        <w:rPr>
          <w:rFonts w:ascii="Times New Roman" w:cs="Times New Roman" w:eastAsia="Times New Roman" w:hAnsi="Times New Roman"/>
          <w:sz w:val="24"/>
          <w:szCs w:val="24"/>
        </w:rPr>
        <w:t xml:space="preserve"> amanama.Qorannoon Kun kaayyoo barnootaa isaatiin alatti guutummaatti kaffaltoonni gibiraa fedhii isaaniitiin seera gibiraa akka eegan madaaluuf Kan xiyyeeffatedha. Odeeffannoon isin kennitan kaayyoo barnootaa qofaaf </w:t>
      </w:r>
      <w:r>
        <w:rPr>
          <w:rFonts w:ascii="Times New Roman" w:cs="Times New Roman" w:eastAsia="Times New Roman" w:hAnsi="Times New Roman"/>
          <w:sz w:val="24"/>
          <w:szCs w:val="24"/>
        </w:rPr>
        <w:t>kan</w:t>
      </w:r>
      <w:r>
        <w:rPr>
          <w:rFonts w:ascii="Times New Roman" w:cs="Times New Roman" w:eastAsia="Times New Roman" w:hAnsi="Times New Roman"/>
          <w:sz w:val="24"/>
          <w:szCs w:val="24"/>
        </w:rPr>
        <w:t xml:space="preserve"> oolu yoo ta’u, iccitii cimsee Kan egamu ta’a. Ani </w:t>
      </w:r>
      <w:r>
        <w:rPr>
          <w:rFonts w:ascii="Times New Roman" w:cs="Times New Roman" w:eastAsia="Times New Roman" w:hAnsi="Times New Roman"/>
          <w:b/>
          <w:sz w:val="24"/>
          <w:szCs w:val="24"/>
        </w:rPr>
        <w:t>Zawudu Gudisaa</w:t>
      </w:r>
      <w:r>
        <w:rPr>
          <w:rFonts w:ascii="Times New Roman" w:cs="Times New Roman" w:eastAsia="Times New Roman" w:hAnsi="Times New Roman"/>
          <w:sz w:val="24"/>
          <w:szCs w:val="24"/>
        </w:rPr>
        <w:t xml:space="preserve">, qajeelfama Yuunivarsiitii Ambootiin qorannoo kana hojjechaan jira.Yoo Na qunnamuu barbaaddan </w:t>
      </w:r>
      <w:r>
        <w:rPr>
          <w:rFonts w:ascii="Times New Roman" w:cs="Times New Roman" w:eastAsia="Times New Roman" w:hAnsi="Times New Roman"/>
          <w:b/>
          <w:sz w:val="24"/>
          <w:szCs w:val="24"/>
        </w:rPr>
        <w:t>Zewudu Gudisa</w:t>
      </w:r>
      <w:r>
        <w:rPr>
          <w:rFonts w:ascii="Times New Roman" w:cs="Times New Roman" w:eastAsia="Times New Roman" w:hAnsi="Times New Roman"/>
          <w:sz w:val="24"/>
          <w:szCs w:val="24"/>
        </w:rPr>
        <w:t xml:space="preserve"> lakkoofsa moobaayila </w:t>
      </w:r>
      <w:r>
        <w:rPr>
          <w:rFonts w:ascii="Times New Roman" w:cs="Times New Roman" w:eastAsia="Times New Roman" w:hAnsi="Times New Roman"/>
          <w:b/>
          <w:sz w:val="24"/>
          <w:szCs w:val="24"/>
        </w:rPr>
        <w:t>0910097127</w:t>
      </w:r>
      <w:r>
        <w:rPr>
          <w:rFonts w:ascii="Times New Roman" w:cs="Times New Roman" w:eastAsia="Times New Roman" w:hAnsi="Times New Roman"/>
          <w:sz w:val="24"/>
          <w:szCs w:val="24"/>
        </w:rPr>
        <w:t xml:space="preserve"> irratti qunnamuu dandeessu.</w:t>
      </w: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Gaaffiiwwan as jalatti dhiyaatan hundaaf deebii dhugaa akka kennitan kabajaan isin Gaafadha, tumsa keessaniif galata guddaan qaba.</w:t>
      </w:r>
      <w:r>
        <w:rPr>
          <w:rFonts w:ascii="Times New Roman" w:cs="Times New Roman" w:eastAsia="Times New Roman" w:hAnsi="Times New Roman"/>
          <w:sz w:val="24"/>
          <w:szCs w:val="24"/>
        </w:rPr>
        <w:t xml:space="preserve"> </w:t>
      </w:r>
    </w:p>
    <w:p>
      <w:pPr>
        <w:pStyle w:val="style0"/>
        <w:spacing w:after="0" w:lineRule="auto" w:line="360"/>
        <w:ind w:right="115"/>
        <w:jc w:val="both"/>
        <w:rPr>
          <w:rFonts w:ascii="Times New Roman" w:cs="Times New Roman" w:eastAsia="Times New Roman" w:hAnsi="Times New Roman"/>
          <w:b/>
          <w:sz w:val="24"/>
          <w:szCs w:val="24"/>
        </w:rPr>
      </w:pPr>
    </w:p>
    <w:p>
      <w:pPr>
        <w:pStyle w:val="style0"/>
        <w:spacing w:after="0" w:lineRule="auto" w:line="360"/>
        <w:ind w:right="115"/>
        <w:jc w:val="both"/>
        <w:rPr>
          <w:rFonts w:ascii="Times New Roman" w:cs="Times New Roman" w:eastAsia="Times New Roman" w:hAnsi="Times New Roman"/>
          <w:b/>
          <w:sz w:val="24"/>
          <w:szCs w:val="24"/>
        </w:rPr>
      </w:pPr>
    </w:p>
    <w:p>
      <w:pPr>
        <w:pStyle w:val="style0"/>
        <w:spacing w:after="0" w:lineRule="auto" w:line="360"/>
        <w:ind w:right="115"/>
        <w:jc w:val="both"/>
        <w:rPr>
          <w:rFonts w:ascii="Times New Roman" w:cs="Times New Roman" w:eastAsia="Times New Roman" w:hAnsi="Times New Roman"/>
          <w:b/>
          <w:sz w:val="24"/>
          <w:szCs w:val="24"/>
        </w:rPr>
      </w:pPr>
    </w:p>
    <w:p>
      <w:pPr>
        <w:pStyle w:val="style0"/>
        <w:spacing w:after="0" w:lineRule="auto" w:line="360"/>
        <w:ind w:right="115"/>
        <w:jc w:val="both"/>
        <w:rPr>
          <w:rFonts w:ascii="Times New Roman" w:cs="Times New Roman" w:eastAsia="Times New Roman" w:hAnsi="Times New Roman"/>
          <w:b/>
          <w:sz w:val="24"/>
          <w:szCs w:val="24"/>
        </w:rPr>
      </w:pPr>
    </w:p>
    <w:p>
      <w:pPr>
        <w:pStyle w:val="style0"/>
        <w:spacing w:after="0" w:lineRule="auto" w:line="360"/>
        <w:ind w:right="115"/>
        <w:jc w:val="both"/>
        <w:rPr>
          <w:rFonts w:ascii="Times New Roman" w:cs="Times New Roman" w:eastAsia="Times New Roman" w:hAnsi="Times New Roman"/>
          <w:b/>
          <w:sz w:val="24"/>
          <w:szCs w:val="24"/>
        </w:rPr>
      </w:pPr>
    </w:p>
    <w:p>
      <w:pPr>
        <w:pStyle w:val="style0"/>
        <w:spacing w:after="0" w:lineRule="auto" w:line="360"/>
        <w:ind w:right="115"/>
        <w:jc w:val="both"/>
        <w:rPr>
          <w:rFonts w:ascii="Times New Roman" w:cs="Times New Roman" w:eastAsia="Times New Roman" w:hAnsi="Times New Roman"/>
          <w:b/>
          <w:sz w:val="24"/>
          <w:szCs w:val="24"/>
        </w:rPr>
      </w:pPr>
    </w:p>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Galatoomaa!!</w:t>
      </w:r>
    </w:p>
    <w:p>
      <w:pPr>
        <w:pStyle w:val="style0"/>
        <w:spacing w:after="0" w:lineRule="auto" w:line="360"/>
        <w:ind w:right="115"/>
        <w:jc w:val="both"/>
        <w:rPr>
          <w:rFonts w:ascii="Times New Roman" w:cs="Times New Roman" w:eastAsia="Times New Roman" w:hAnsi="Times New Roman"/>
          <w:b/>
          <w:sz w:val="24"/>
          <w:szCs w:val="24"/>
        </w:rPr>
      </w:pPr>
    </w:p>
    <w:p>
      <w:pPr>
        <w:pStyle w:val="style0"/>
        <w:spacing w:after="0" w:lineRule="auto" w:line="360"/>
        <w:ind w:right="115"/>
        <w:jc w:val="both"/>
        <w:rPr>
          <w:rFonts w:ascii="Times New Roman" w:cs="Times New Roman" w:eastAsia="Times New Roman" w:hAnsi="Times New Roman"/>
          <w:b/>
          <w:sz w:val="24"/>
          <w:szCs w:val="24"/>
        </w:rPr>
      </w:pPr>
    </w:p>
    <w:p>
      <w:pPr>
        <w:pStyle w:val="style0"/>
        <w:spacing w:after="0" w:lineRule="auto" w:line="360"/>
        <w:ind w:right="115"/>
        <w:jc w:val="both"/>
        <w:rPr>
          <w:rFonts w:ascii="Times New Roman" w:cs="Times New Roman" w:eastAsia="Times New Roman" w:hAnsi="Times New Roman"/>
          <w:b/>
          <w:sz w:val="24"/>
          <w:szCs w:val="24"/>
        </w:rPr>
      </w:pPr>
    </w:p>
    <w:p>
      <w:pPr>
        <w:pStyle w:val="style0"/>
        <w:spacing w:after="0" w:lineRule="auto" w:line="360"/>
        <w:ind w:right="115"/>
        <w:jc w:val="both"/>
        <w:rPr>
          <w:rFonts w:ascii="Times New Roman" w:cs="Times New Roman" w:eastAsia="Times New Roman" w:hAnsi="Times New Roman"/>
          <w:b/>
          <w:sz w:val="24"/>
          <w:szCs w:val="24"/>
        </w:rPr>
      </w:pPr>
    </w:p>
    <w:p>
      <w:pPr>
        <w:pStyle w:val="style0"/>
        <w:spacing w:after="0" w:lineRule="auto" w:line="360"/>
        <w:ind w:right="115"/>
        <w:jc w:val="both"/>
        <w:rPr>
          <w:rFonts w:ascii="Times New Roman" w:cs="Times New Roman" w:eastAsia="Times New Roman" w:hAnsi="Times New Roman"/>
          <w:b/>
          <w:sz w:val="24"/>
          <w:szCs w:val="24"/>
        </w:rPr>
      </w:pPr>
    </w:p>
    <w:p>
      <w:pPr>
        <w:pStyle w:val="style0"/>
        <w:spacing w:after="0" w:lineRule="auto" w:line="360"/>
        <w:ind w:right="115"/>
        <w:jc w:val="both"/>
        <w:rPr>
          <w:rFonts w:ascii="Times New Roman" w:cs="Times New Roman" w:eastAsia="Times New Roman" w:hAnsi="Times New Roman"/>
          <w:b/>
          <w:sz w:val="24"/>
          <w:szCs w:val="24"/>
        </w:rPr>
      </w:pPr>
    </w:p>
    <w:p>
      <w:pPr>
        <w:pStyle w:val="style0"/>
        <w:spacing w:after="0" w:lineRule="auto" w:line="360"/>
        <w:ind w:right="115"/>
        <w:jc w:val="both"/>
        <w:rPr>
          <w:rFonts w:ascii="Times New Roman" w:cs="Times New Roman" w:eastAsia="Times New Roman" w:hAnsi="Times New Roman"/>
          <w:b/>
          <w:sz w:val="24"/>
          <w:szCs w:val="24"/>
        </w:rPr>
      </w:pPr>
    </w:p>
    <w:p>
      <w:pPr>
        <w:pStyle w:val="style0"/>
        <w:spacing w:after="0" w:lineRule="auto" w:line="360"/>
        <w:ind w:right="115"/>
        <w:jc w:val="both"/>
        <w:rPr>
          <w:rFonts w:ascii="Times New Roman" w:cs="Times New Roman" w:eastAsia="Times New Roman" w:hAnsi="Times New Roman"/>
          <w:b/>
          <w:sz w:val="24"/>
          <w:szCs w:val="24"/>
        </w:rPr>
      </w:pPr>
    </w:p>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Qajeelfama Waliigalaa:</w:t>
      </w:r>
    </w:p>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 xml:space="preserve">I. Maaloo gaaffilee armaan gadii tokkoon tokkoon isaanii keessatti xalayaa deebii keessan haala sirrii ta’een bakka bu’u irratti geengoo godhi. </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II.Gaaffiiwwan filannoowwan deebii kee wajjin wal hin simne qabaniif, maaloo deebii kee isa sirrii bakka kenname irratti barreessi</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Kutaa I: Odeeffannoo Duubbee Deebii kennitootaa</w:t>
      </w:r>
    </w:p>
    <w:p>
      <w:pPr>
        <w:pStyle w:val="style0"/>
        <w:numPr>
          <w:ilvl w:val="0"/>
          <w:numId w:val="3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 xml:space="preserve">Umurii? </w:t>
      </w:r>
      <w:r>
        <w:rPr>
          <w:rFonts w:ascii="Times New Roman" w:cs="Times New Roman" w:eastAsia="Times New Roman" w:hAnsi="Times New Roman"/>
          <w:sz w:val="24"/>
          <w:szCs w:val="24"/>
        </w:rPr>
        <w:t>:( waggootan)</w:t>
      </w:r>
    </w:p>
    <w:p>
      <w:pPr>
        <w:pStyle w:val="style0"/>
        <w:numPr>
          <w:ilvl w:val="0"/>
          <w:numId w:val="3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Soddoma gadi ta’an.                                      </w:t>
      </w:r>
    </w:p>
    <w:p>
      <w:pPr>
        <w:pStyle w:val="style0"/>
        <w:numPr>
          <w:ilvl w:val="0"/>
          <w:numId w:val="3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.30 hanga 39tti                                                </w:t>
      </w:r>
    </w:p>
    <w:p>
      <w:pPr>
        <w:pStyle w:val="style0"/>
        <w:numPr>
          <w:ilvl w:val="0"/>
          <w:numId w:val="3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40 hanga 49tti</w:t>
      </w:r>
    </w:p>
    <w:p>
      <w:pPr>
        <w:pStyle w:val="style0"/>
        <w:numPr>
          <w:ilvl w:val="0"/>
          <w:numId w:val="3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50 hanga 59tti </w:t>
      </w:r>
    </w:p>
    <w:p>
      <w:pPr>
        <w:pStyle w:val="style0"/>
        <w:numPr>
          <w:ilvl w:val="0"/>
          <w:numId w:val="3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Waggaa 60 fi isaa ol</w:t>
      </w:r>
    </w:p>
    <w:p>
      <w:pPr>
        <w:pStyle w:val="style0"/>
        <w:numPr>
          <w:ilvl w:val="0"/>
          <w:numId w:val="3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Saala kee:</w:t>
      </w:r>
    </w:p>
    <w:p>
      <w:pPr>
        <w:pStyle w:val="style0"/>
        <w:numPr>
          <w:ilvl w:val="0"/>
          <w:numId w:val="3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Dhiira</w:t>
      </w:r>
    </w:p>
    <w:p>
      <w:pPr>
        <w:pStyle w:val="style0"/>
        <w:numPr>
          <w:ilvl w:val="0"/>
          <w:numId w:val="3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Dhalaa</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 xml:space="preserve">Haala Barnoota kee: </w:t>
      </w:r>
    </w:p>
    <w:p>
      <w:pPr>
        <w:pStyle w:val="style0"/>
        <w:numPr>
          <w:ilvl w:val="0"/>
          <w:numId w:val="3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Ragaa TVET                                                   </w:t>
      </w:r>
    </w:p>
    <w:p>
      <w:pPr>
        <w:pStyle w:val="style0"/>
        <w:numPr>
          <w:ilvl w:val="0"/>
          <w:numId w:val="3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Dippiloomaa</w:t>
      </w:r>
    </w:p>
    <w:p>
      <w:pPr>
        <w:pStyle w:val="style0"/>
        <w:numPr>
          <w:ilvl w:val="0"/>
          <w:numId w:val="3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Digirii                                                            </w:t>
      </w:r>
    </w:p>
    <w:p>
      <w:pPr>
        <w:pStyle w:val="style0"/>
        <w:numPr>
          <w:ilvl w:val="0"/>
          <w:numId w:val="3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Yoo Kan biraa ta'e, ifteessi</w:t>
      </w:r>
    </w:p>
    <w:p>
      <w:pPr>
        <w:pStyle w:val="style0"/>
        <w:numPr>
          <w:ilvl w:val="0"/>
          <w:numId w:val="3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Fayidaa kaafalti gibiraa?</w:t>
      </w:r>
    </w:p>
    <w:p>
      <w:pPr>
        <w:pStyle w:val="style0"/>
        <w:numPr>
          <w:ilvl w:val="0"/>
          <w:numId w:val="6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Jeequmsa (adabbii, qoqqobbii,) akka hin uumamneef.</w:t>
      </w:r>
    </w:p>
    <w:p>
      <w:pPr>
        <w:pStyle w:val="style0"/>
        <w:numPr>
          <w:ilvl w:val="0"/>
          <w:numId w:val="6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Tajaajila mootummaa eeguu keessatti                 </w:t>
      </w:r>
    </w:p>
    <w:p>
      <w:pPr>
        <w:pStyle w:val="style0"/>
        <w:numPr>
          <w:ilvl w:val="0"/>
          <w:numId w:val="6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Carraan miliquun hin jiru.</w:t>
      </w:r>
      <w:r>
        <w:rPr>
          <w:rFonts w:ascii="Times New Roman" w:cs="Times New Roman" w:eastAsia="Times New Roman" w:hAnsi="Times New Roman"/>
          <w:sz w:val="24"/>
          <w:szCs w:val="24"/>
        </w:rPr>
        <w:tab/>
      </w:r>
    </w:p>
    <w:p>
      <w:pPr>
        <w:pStyle w:val="style0"/>
        <w:numPr>
          <w:ilvl w:val="0"/>
          <w:numId w:val="6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Dirqama mootummaaf ta'uudha.</w:t>
      </w:r>
    </w:p>
    <w:p>
      <w:pPr>
        <w:pStyle w:val="style0"/>
        <w:numPr>
          <w:ilvl w:val="0"/>
          <w:numId w:val="6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beeku</w:t>
      </w:r>
    </w:p>
    <w:p>
      <w:pPr>
        <w:pStyle w:val="style0"/>
        <w:numPr>
          <w:ilvl w:val="0"/>
          <w:numId w:val="6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Yoo jiraate ibsi</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Dandeettii kaffaltii kee ilaalcha keessa galchuun hanga itti gaafatamummaa gibiraa ati qabdu akkamitti jettee yaadda? Kaffalame?</w:t>
      </w:r>
    </w:p>
    <w:p>
      <w:pPr>
        <w:pStyle w:val="style0"/>
        <w:numPr>
          <w:ilvl w:val="0"/>
          <w:numId w:val="6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bayyee guddaadha</w:t>
      </w:r>
    </w:p>
    <w:p>
      <w:pPr>
        <w:pStyle w:val="style0"/>
        <w:numPr>
          <w:ilvl w:val="0"/>
          <w:numId w:val="6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giddu galeessa</w:t>
      </w:r>
    </w:p>
    <w:p>
      <w:pPr>
        <w:pStyle w:val="style0"/>
        <w:numPr>
          <w:ilvl w:val="0"/>
          <w:numId w:val="6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gariidha</w:t>
      </w:r>
    </w:p>
    <w:p>
      <w:pPr>
        <w:pStyle w:val="style0"/>
        <w:numPr>
          <w:ilvl w:val="0"/>
          <w:numId w:val="3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Gibira kaffaluun haqa hin qabu</w:t>
      </w:r>
    </w:p>
    <w:p>
      <w:pPr>
        <w:pStyle w:val="style0"/>
        <w:numPr>
          <w:ilvl w:val="0"/>
          <w:numId w:val="3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Sirriitti walii hin gallu                                         </w:t>
      </w:r>
    </w:p>
    <w:p>
      <w:pPr>
        <w:pStyle w:val="style0"/>
        <w:numPr>
          <w:ilvl w:val="0"/>
          <w:numId w:val="3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hin gallu                         </w:t>
      </w:r>
    </w:p>
    <w:p>
      <w:pPr>
        <w:pStyle w:val="style0"/>
        <w:numPr>
          <w:ilvl w:val="0"/>
          <w:numId w:val="3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Homaanu walii hin galu. </w:t>
      </w:r>
    </w:p>
    <w:p>
      <w:pPr>
        <w:pStyle w:val="style0"/>
        <w:numPr>
          <w:ilvl w:val="0"/>
          <w:numId w:val="3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galuu </w:t>
      </w:r>
    </w:p>
    <w:p>
      <w:pPr>
        <w:pStyle w:val="style0"/>
        <w:numPr>
          <w:ilvl w:val="0"/>
          <w:numId w:val="3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Sirriittiin walii gala </w:t>
      </w:r>
    </w:p>
    <w:p>
      <w:pPr>
        <w:pStyle w:val="style0"/>
        <w:numPr>
          <w:ilvl w:val="0"/>
          <w:numId w:val="3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Seerri gibiraa kabajamuu qaba.</w:t>
      </w:r>
    </w:p>
    <w:p>
      <w:pPr>
        <w:pStyle w:val="style0"/>
        <w:numPr>
          <w:ilvl w:val="0"/>
          <w:numId w:val="4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Sirriitti walii hin gallu                                      </w:t>
      </w:r>
    </w:p>
    <w:p>
      <w:pPr>
        <w:pStyle w:val="style0"/>
        <w:numPr>
          <w:ilvl w:val="0"/>
          <w:numId w:val="4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hin gallu                         </w:t>
      </w:r>
    </w:p>
    <w:p>
      <w:pPr>
        <w:pStyle w:val="style0"/>
        <w:numPr>
          <w:ilvl w:val="0"/>
          <w:numId w:val="4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.Homaanu walii hin galu</w:t>
      </w:r>
    </w:p>
    <w:p>
      <w:pPr>
        <w:pStyle w:val="style0"/>
        <w:numPr>
          <w:ilvl w:val="0"/>
          <w:numId w:val="4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galuu </w:t>
      </w:r>
    </w:p>
    <w:p>
      <w:pPr>
        <w:pStyle w:val="style0"/>
        <w:numPr>
          <w:ilvl w:val="0"/>
          <w:numId w:val="4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Sirriittiin walii gala </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Kanneen armaan gadii keessaa yakki cimaan isa kami? (Sadarkaa 1-4)</w:t>
      </w:r>
    </w:p>
    <w:p>
      <w:pPr>
        <w:pStyle w:val="style0"/>
        <w:numPr>
          <w:ilvl w:val="0"/>
          <w:numId w:val="4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Machaa'ee konkolaataa oofuu                           </w:t>
      </w:r>
    </w:p>
    <w:p>
      <w:pPr>
        <w:pStyle w:val="style0"/>
        <w:numPr>
          <w:ilvl w:val="0"/>
          <w:numId w:val="4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Mobaayila tokko tokko hatuu                           </w:t>
      </w:r>
      <w:r>
        <w:rPr>
          <w:rFonts w:ascii="Times New Roman" w:cs="Times New Roman" w:eastAsia="Times New Roman" w:hAnsi="Times New Roman"/>
          <w:sz w:val="24"/>
          <w:szCs w:val="24"/>
        </w:rPr>
        <w:tab/>
      </w:r>
    </w:p>
    <w:p>
      <w:pPr>
        <w:pStyle w:val="style0"/>
        <w:numPr>
          <w:ilvl w:val="0"/>
          <w:numId w:val="4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Gibira dhoksuu</w:t>
      </w:r>
    </w:p>
    <w:p>
      <w:pPr>
        <w:pStyle w:val="style0"/>
        <w:numPr>
          <w:ilvl w:val="0"/>
          <w:numId w:val="4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Hi-jacking jedhamuun beekama</w:t>
      </w:r>
    </w:p>
    <w:p>
      <w:pPr>
        <w:pStyle w:val="style0"/>
        <w:numPr>
          <w:ilvl w:val="0"/>
          <w:numId w:val="4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Kan biraa yoo jiraate ibsii.</w:t>
      </w:r>
    </w:p>
    <w:p>
      <w:pPr>
        <w:pStyle w:val="style0"/>
        <w:numPr>
          <w:ilvl w:val="0"/>
          <w:numId w:val="3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Sirna/ sassaabbii gibiraa keessatti rakkooleen gurguddoon maal fa’a?</w:t>
      </w:r>
    </w:p>
    <w:p>
      <w:pPr>
        <w:pStyle w:val="style0"/>
        <w:numPr>
          <w:ilvl w:val="1"/>
          <w:numId w:val="4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Galiin gibiraa tajaajila mootummaaf hin bahu</w:t>
      </w:r>
    </w:p>
    <w:p>
      <w:pPr>
        <w:pStyle w:val="style0"/>
        <w:numPr>
          <w:ilvl w:val="0"/>
          <w:numId w:val="4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Sadarkaan gibiraa garmalee olka’aa dha.</w:t>
      </w:r>
    </w:p>
    <w:p>
      <w:pPr>
        <w:pStyle w:val="style0"/>
        <w:numPr>
          <w:ilvl w:val="0"/>
          <w:numId w:val="4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Namoonni gibira sassaaban amanamoo hin taane jiru.</w:t>
      </w:r>
    </w:p>
    <w:p>
      <w:pPr>
        <w:pStyle w:val="style0"/>
        <w:numPr>
          <w:ilvl w:val="0"/>
          <w:numId w:val="4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Meeshaaleen gibiraa hedduun yeroo tokkotti </w:t>
      </w:r>
      <w:r>
        <w:rPr>
          <w:rFonts w:ascii="Times New Roman" w:cs="Times New Roman" w:eastAsia="Times New Roman" w:hAnsi="Times New Roman"/>
          <w:sz w:val="24"/>
          <w:szCs w:val="24"/>
        </w:rPr>
        <w:t>ni</w:t>
      </w:r>
      <w:r>
        <w:rPr>
          <w:rFonts w:ascii="Times New Roman" w:cs="Times New Roman" w:eastAsia="Times New Roman" w:hAnsi="Times New Roman"/>
          <w:sz w:val="24"/>
          <w:szCs w:val="24"/>
        </w:rPr>
        <w:t xml:space="preserve"> kaffalamu.</w:t>
      </w:r>
    </w:p>
    <w:p>
      <w:pPr>
        <w:pStyle w:val="style0"/>
        <w:numPr>
          <w:ilvl w:val="0"/>
          <w:numId w:val="4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Kaffaltoonni gibiraa gibira kaffaluuf fedhii hin qaban.</w:t>
      </w:r>
    </w:p>
    <w:p>
      <w:pPr>
        <w:pStyle w:val="style0"/>
        <w:numPr>
          <w:ilvl w:val="0"/>
          <w:numId w:val="4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Yoo jiraate ibsi;</w:t>
      </w:r>
      <w:r>
        <w:rPr>
          <w:rFonts w:ascii="Times New Roman" w:cs="Times New Roman" w:eastAsia="Times New Roman" w:hAnsi="Times New Roman"/>
          <w:sz w:val="24"/>
          <w:szCs w:val="24"/>
        </w:rPr>
        <w:tab/>
      </w:r>
    </w:p>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Kutaa III: Gaaffiiwwan Qabxiilee Kaka’umsaa wajjin walqabata</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sz w:val="24"/>
          <w:szCs w:val="24"/>
        </w:rPr>
        <w:t>Abbaan taayitaa gibiraa tarkaanfiiwwan armaan gadii keessaa isa kam kakaasuuf waadaa fudhachuu qabaCategory “A” Kaffaltoonni gibiraa gibira kaffaluuf</w:t>
      </w:r>
      <w:r>
        <w:rPr>
          <w:rFonts w:ascii="Times New Roman" w:cs="Times New Roman" w:eastAsia="Times New Roman" w:hAnsi="Times New Roman"/>
          <w:b/>
          <w:sz w:val="24"/>
          <w:szCs w:val="24"/>
        </w:rPr>
        <w:t>?</w:t>
      </w:r>
    </w:p>
    <w:tbl>
      <w:tblPr>
        <w:tblW w:w="1080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0"/>
        <w:gridCol w:w="1170"/>
        <w:gridCol w:w="1890"/>
        <w:gridCol w:w="1620"/>
        <w:gridCol w:w="1890"/>
        <w:gridCol w:w="1530"/>
      </w:tblGrid>
      <w:tr>
        <w:trPr>
          <w:trHeight w:val="800" w:hRule="atLeast"/>
        </w:trPr>
        <w:tc>
          <w:tcPr>
            <w:tcW w:w="27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Tarkaanfiiwwan ta’uu danda’an</w:t>
            </w:r>
          </w:p>
        </w:tc>
        <w:tc>
          <w:tcPr>
            <w:tcW w:w="117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 xml:space="preserve">Cimseewalii </w:t>
            </w:r>
            <w:r>
              <w:rPr>
                <w:rFonts w:ascii="Times New Roman" w:cs="Times New Roman" w:eastAsia="Times New Roman" w:hAnsi="Times New Roman"/>
                <w:b/>
                <w:sz w:val="24"/>
                <w:szCs w:val="24"/>
              </w:rPr>
              <w:t>hin galan</w:t>
            </w:r>
          </w:p>
        </w:tc>
        <w:tc>
          <w:tcPr>
            <w:tcW w:w="189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Giddu galeessaan</w:t>
            </w:r>
          </w:p>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walii hin galan</w:t>
            </w:r>
          </w:p>
        </w:tc>
        <w:tc>
          <w:tcPr>
            <w:tcW w:w="162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 xml:space="preserve">Lamaanuu walii hin </w:t>
            </w:r>
            <w:r>
              <w:rPr>
                <w:rFonts w:ascii="Times New Roman" w:cs="Times New Roman" w:eastAsia="Times New Roman" w:hAnsi="Times New Roman"/>
                <w:b/>
                <w:sz w:val="24"/>
                <w:szCs w:val="24"/>
              </w:rPr>
              <w:t>galan.</w:t>
            </w:r>
          </w:p>
        </w:tc>
        <w:tc>
          <w:tcPr>
            <w:tcW w:w="189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Giddu galeessaan</w:t>
            </w:r>
          </w:p>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Waliin gala.</w:t>
            </w:r>
          </w:p>
          <w:p>
            <w:pPr>
              <w:pStyle w:val="style0"/>
              <w:spacing w:after="0" w:lineRule="auto" w:line="360"/>
              <w:ind w:right="115"/>
              <w:jc w:val="both"/>
              <w:rPr>
                <w:rFonts w:ascii="Times New Roman" w:cs="Times New Roman" w:eastAsia="Times New Roman" w:hAnsi="Times New Roman"/>
                <w:sz w:val="24"/>
                <w:szCs w:val="24"/>
              </w:rPr>
            </w:pPr>
          </w:p>
        </w:tc>
        <w:tc>
          <w:tcPr>
            <w:tcW w:w="153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Cimseen</w:t>
            </w:r>
          </w:p>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Walii gala</w:t>
            </w:r>
          </w:p>
        </w:tc>
      </w:tr>
      <w:tr>
        <w:tblPrEx/>
        <w:trPr>
          <w:trHeight w:val="611" w:hRule="atLeast"/>
        </w:trPr>
        <w:tc>
          <w:tcPr>
            <w:tcW w:w="27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Raawwii seeraa cimsuu fi adabbii</w:t>
            </w:r>
          </w:p>
        </w:tc>
        <w:tc>
          <w:tcPr>
            <w:tcW w:w="117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89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62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89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53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r>
      <w:tr>
        <w:tblPrEx/>
        <w:trPr>
          <w:trHeight w:val="620" w:hRule="atLeast"/>
        </w:trPr>
        <w:tc>
          <w:tcPr>
            <w:tcW w:w="27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Walitti dhufeenya Uummatafooyyessuu</w:t>
            </w:r>
          </w:p>
        </w:tc>
        <w:tc>
          <w:tcPr>
            <w:tcW w:w="117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89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62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89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53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r>
      <w:tr>
        <w:tblPrEx/>
        <w:trPr>
          <w:trHeight w:val="899" w:hRule="atLeast"/>
        </w:trPr>
        <w:tc>
          <w:tcPr>
            <w:tcW w:w="27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Kaffaltoota gibiraa barsiisuu fiwalgahii marii gaggeessuu</w:t>
            </w:r>
          </w:p>
        </w:tc>
        <w:tc>
          <w:tcPr>
            <w:tcW w:w="117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89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62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89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53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r>
      <w:tr>
        <w:tblPrEx/>
        <w:trPr>
          <w:trHeight w:val="1763" w:hRule="atLeast"/>
        </w:trPr>
        <w:tc>
          <w:tcPr>
            <w:tcW w:w="27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Odeeffannoo barbaachisaa ta’e kennuukaffaltoota gibiraa ilaalchiseekenniinsa tajaajilaa fi itti fayyadama galii gibiraa</w:t>
            </w:r>
          </w:p>
        </w:tc>
        <w:tc>
          <w:tcPr>
            <w:tcW w:w="117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89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62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89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53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r>
      <w:tr>
        <w:tblPrEx/>
        <w:trPr>
          <w:trHeight w:val="440" w:hRule="atLeast"/>
        </w:trPr>
        <w:tc>
          <w:tcPr>
            <w:tcW w:w="27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Sadarkaa gibiraa hir’isuu fi akka hojimaata walitti qabuu salphaa fi iftoomina qabu</w:t>
            </w:r>
          </w:p>
        </w:tc>
        <w:tc>
          <w:tcPr>
            <w:tcW w:w="117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89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62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89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53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r>
    </w:tbl>
    <w:p>
      <w:pPr>
        <w:pStyle w:val="style0"/>
        <w:spacing w:after="0" w:lineRule="auto" w:line="360"/>
        <w:ind w:right="115"/>
        <w:jc w:val="both"/>
        <w:rPr>
          <w:rFonts w:ascii="Times New Roman" w:cs="Times New Roman" w:eastAsia="Times New Roman" w:hAnsi="Times New Roman"/>
          <w:b/>
          <w:sz w:val="24"/>
          <w:szCs w:val="24"/>
        </w:rPr>
      </w:pPr>
    </w:p>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Kutaa IV: Gaaffiiwwan Murteessitoota Adda Addaa Waliin Walqabatan</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sz w:val="24"/>
          <w:szCs w:val="24"/>
        </w:rPr>
        <w:t>Walumaagalatti, ba’aan gibira galii daldalaa gosa “</w:t>
      </w:r>
      <w:r>
        <w:rPr>
          <w:rFonts w:ascii="Times New Roman" w:cs="Times New Roman" w:eastAsia="Times New Roman" w:hAnsi="Times New Roman"/>
          <w:sz w:val="24"/>
          <w:szCs w:val="24"/>
        </w:rPr>
        <w:t>A</w:t>
      </w:r>
      <w:r>
        <w:rPr>
          <w:rFonts w:ascii="Times New Roman" w:cs="Times New Roman" w:eastAsia="Times New Roman" w:hAnsi="Times New Roman"/>
          <w:sz w:val="24"/>
          <w:szCs w:val="24"/>
        </w:rPr>
        <w:t>” irratti fe’ame irratti walii galtuu? Kaffaltoonni gibiraa haqa qabeessaa?</w:t>
      </w:r>
    </w:p>
    <w:p>
      <w:pPr>
        <w:pStyle w:val="style0"/>
        <w:numPr>
          <w:ilvl w:val="0"/>
          <w:numId w:val="6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sz w:val="24"/>
          <w:szCs w:val="24"/>
        </w:rPr>
        <w:t xml:space="preserve">Sirriitti walii hin gallu                                          </w:t>
      </w:r>
    </w:p>
    <w:p>
      <w:pPr>
        <w:pStyle w:val="style0"/>
        <w:numPr>
          <w:ilvl w:val="0"/>
          <w:numId w:val="6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hin gallu                   </w:t>
      </w:r>
    </w:p>
    <w:p>
      <w:pPr>
        <w:pStyle w:val="style0"/>
        <w:numPr>
          <w:ilvl w:val="0"/>
          <w:numId w:val="6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Homaanu walii hin galu</w:t>
      </w:r>
    </w:p>
    <w:p>
      <w:pPr>
        <w:pStyle w:val="style0"/>
        <w:numPr>
          <w:ilvl w:val="0"/>
          <w:numId w:val="6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Giddu galeessaan walii galuu</w:t>
      </w:r>
    </w:p>
    <w:p>
      <w:pPr>
        <w:pStyle w:val="style0"/>
        <w:numPr>
          <w:ilvl w:val="0"/>
          <w:numId w:val="6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Sirriittiin walii gala </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Akka dhuunfaatti ba’aan gibira galii daldalaa sirratti fe’ame haqa qabeessa ta’uu isaa irratti walii galtuu?</w:t>
      </w:r>
    </w:p>
    <w:p>
      <w:pPr>
        <w:pStyle w:val="style0"/>
        <w:numPr>
          <w:ilvl w:val="0"/>
          <w:numId w:val="4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Sirriitti walii hin gallu                                          </w:t>
      </w:r>
    </w:p>
    <w:p>
      <w:pPr>
        <w:pStyle w:val="style0"/>
        <w:numPr>
          <w:ilvl w:val="0"/>
          <w:numId w:val="4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B.Giddu galeessaan walii hin gallu                      </w:t>
      </w:r>
    </w:p>
    <w:p>
      <w:pPr>
        <w:pStyle w:val="style0"/>
        <w:numPr>
          <w:ilvl w:val="0"/>
          <w:numId w:val="4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C.Homaanu walii hin galu</w:t>
      </w:r>
    </w:p>
    <w:p>
      <w:pPr>
        <w:pStyle w:val="style0"/>
        <w:numPr>
          <w:ilvl w:val="0"/>
          <w:numId w:val="4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galuu </w:t>
      </w:r>
    </w:p>
    <w:p>
      <w:pPr>
        <w:pStyle w:val="style0"/>
        <w:numPr>
          <w:ilvl w:val="0"/>
          <w:numId w:val="4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Sirriittiin walii gala </w:t>
      </w:r>
    </w:p>
    <w:p>
      <w:pPr>
        <w:pStyle w:val="style0"/>
        <w:numPr>
          <w:ilvl w:val="0"/>
          <w:numId w:val="3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Kaffaltoonni gibiraa galii daldalaa olaanaa qaban kaffaltoota gibiraa galii daldalaa gadi aanaa qaban caalaa gibira sadarkaa olaanaadhaan akka kaffalan irratti walii galtuu?</w:t>
      </w:r>
    </w:p>
    <w:p>
      <w:pPr>
        <w:pStyle w:val="style0"/>
        <w:numPr>
          <w:ilvl w:val="0"/>
          <w:numId w:val="4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Sirriitti walii hin gallu                                          </w:t>
      </w:r>
    </w:p>
    <w:p>
      <w:pPr>
        <w:pStyle w:val="style0"/>
        <w:numPr>
          <w:ilvl w:val="0"/>
          <w:numId w:val="4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hin gallu                      </w:t>
      </w:r>
    </w:p>
    <w:p>
      <w:pPr>
        <w:pStyle w:val="style0"/>
        <w:numPr>
          <w:ilvl w:val="0"/>
          <w:numId w:val="4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.Homaanu walii hin galu</w:t>
      </w:r>
    </w:p>
    <w:p>
      <w:pPr>
        <w:pStyle w:val="style0"/>
        <w:numPr>
          <w:ilvl w:val="0"/>
          <w:numId w:val="4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galuu </w:t>
      </w:r>
    </w:p>
    <w:p>
      <w:pPr>
        <w:pStyle w:val="style0"/>
        <w:numPr>
          <w:ilvl w:val="0"/>
          <w:numId w:val="4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Sirrittiin walii gala</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Ilaalchi kaffaltoonni gibiraa haqummaa gibiraa irratti qaban akkuma dabalaa deemuun sadarkaan walsimannaa gibiraas Ni dabala.</w:t>
      </w:r>
    </w:p>
    <w:p>
      <w:pPr>
        <w:pStyle w:val="style0"/>
        <w:numPr>
          <w:ilvl w:val="0"/>
          <w:numId w:val="4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Sirriitti walii hin gallu                                          </w:t>
      </w:r>
    </w:p>
    <w:p>
      <w:pPr>
        <w:pStyle w:val="style0"/>
        <w:numPr>
          <w:ilvl w:val="0"/>
          <w:numId w:val="4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hin gallu                            </w:t>
      </w:r>
    </w:p>
    <w:p>
      <w:pPr>
        <w:pStyle w:val="style0"/>
        <w:numPr>
          <w:ilvl w:val="0"/>
          <w:numId w:val="4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Homaanu walii hin galu</w:t>
      </w:r>
    </w:p>
    <w:p>
      <w:pPr>
        <w:pStyle w:val="style0"/>
        <w:numPr>
          <w:ilvl w:val="0"/>
          <w:numId w:val="4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Giddu galeessaan walii galuu</w:t>
      </w:r>
    </w:p>
    <w:p>
      <w:pPr>
        <w:pStyle w:val="style0"/>
        <w:numPr>
          <w:ilvl w:val="0"/>
          <w:numId w:val="4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Sirriittiin walii gala</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Kanneen armaan gadii ilaalchisee cimina abbaa taayitaa gibiraa akkamitti madaaltu? Paarameetaroota?</w:t>
      </w:r>
    </w:p>
    <w:tbl>
      <w:tblPr>
        <w:tblW w:w="0" w:type="auto"/>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0"/>
        <w:gridCol w:w="990"/>
        <w:gridCol w:w="900"/>
        <w:gridCol w:w="1260"/>
        <w:gridCol w:w="1588"/>
        <w:gridCol w:w="1850"/>
      </w:tblGrid>
      <w:tr>
        <w:trPr/>
        <w:tc>
          <w:tcPr>
            <w:tcW w:w="27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Paarameetaroota</w:t>
            </w:r>
          </w:p>
        </w:tc>
        <w:tc>
          <w:tcPr>
            <w:tcW w:w="99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Baay'ee gaarii</w:t>
            </w:r>
          </w:p>
        </w:tc>
        <w:tc>
          <w:tcPr>
            <w:tcW w:w="9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Gaarii</w:t>
            </w:r>
          </w:p>
        </w:tc>
        <w:tc>
          <w:tcPr>
            <w:tcW w:w="126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Lamaanuu miti</w:t>
            </w:r>
          </w:p>
        </w:tc>
        <w:tc>
          <w:tcPr>
            <w:tcW w:w="1588"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Hiyyeessa</w:t>
            </w:r>
          </w:p>
        </w:tc>
        <w:tc>
          <w:tcPr>
            <w:tcW w:w="185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Baay'ee darbaa</w:t>
            </w:r>
          </w:p>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Hiyyeessa</w:t>
            </w:r>
          </w:p>
          <w:p>
            <w:pPr>
              <w:pStyle w:val="style0"/>
              <w:spacing w:after="0" w:lineRule="auto" w:line="360"/>
              <w:ind w:right="115"/>
              <w:jc w:val="both"/>
              <w:rPr>
                <w:rFonts w:ascii="Times New Roman" w:cs="Times New Roman" w:eastAsia="Times New Roman" w:hAnsi="Times New Roman"/>
                <w:b/>
                <w:sz w:val="24"/>
                <w:szCs w:val="24"/>
              </w:rPr>
            </w:pPr>
          </w:p>
        </w:tc>
      </w:tr>
      <w:tr>
        <w:tblPrEx/>
        <w:trPr/>
        <w:tc>
          <w:tcPr>
            <w:tcW w:w="27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Kenniinsa tajaajilaa</w:t>
            </w:r>
          </w:p>
        </w:tc>
        <w:tc>
          <w:tcPr>
            <w:tcW w:w="99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9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588"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5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r>
      <w:tr>
        <w:tblPrEx/>
        <w:trPr/>
        <w:tc>
          <w:tcPr>
            <w:tcW w:w="27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Gahumsa sassaabbii gibiraa</w:t>
            </w:r>
          </w:p>
        </w:tc>
        <w:tc>
          <w:tcPr>
            <w:tcW w:w="99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9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588"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5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r>
      <w:tr>
        <w:tblPrEx/>
        <w:trPr/>
        <w:tc>
          <w:tcPr>
            <w:tcW w:w="27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Seera kabachiisuu</w:t>
            </w:r>
          </w:p>
        </w:tc>
        <w:tc>
          <w:tcPr>
            <w:tcW w:w="99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9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588"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5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r>
      <w:tr>
        <w:tblPrEx/>
        <w:trPr/>
        <w:tc>
          <w:tcPr>
            <w:tcW w:w="27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Hubannoo uumuu</w:t>
            </w:r>
          </w:p>
        </w:tc>
        <w:tc>
          <w:tcPr>
            <w:tcW w:w="99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9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588"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5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r>
    </w:tbl>
    <w:p>
      <w:pPr>
        <w:pStyle w:val="style0"/>
        <w:spacing w:after="0" w:lineRule="auto" w:line="360"/>
        <w:ind w:right="115"/>
        <w:jc w:val="both"/>
        <w:rPr>
          <w:rFonts w:ascii="Times New Roman" w:cs="Times New Roman" w:eastAsia="Times New Roman" w:hAnsi="Times New Roman"/>
          <w:b/>
          <w:sz w:val="24"/>
          <w:szCs w:val="24"/>
        </w:rPr>
      </w:pP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Kaffaltoonni gibiraa sirna gibiraa, madaallii fi hojimaata walitti qabuu irratti amantaa qabu</w:t>
      </w:r>
    </w:p>
    <w:p>
      <w:pPr>
        <w:pStyle w:val="style0"/>
        <w:numPr>
          <w:ilvl w:val="0"/>
          <w:numId w:val="6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Sirriitti walii hin gallu                                        </w:t>
      </w:r>
    </w:p>
    <w:p>
      <w:pPr>
        <w:pStyle w:val="style0"/>
        <w:numPr>
          <w:ilvl w:val="0"/>
          <w:numId w:val="6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hin gallu                          </w:t>
      </w:r>
    </w:p>
    <w:p>
      <w:pPr>
        <w:pStyle w:val="style0"/>
        <w:numPr>
          <w:ilvl w:val="0"/>
          <w:numId w:val="6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Homaanu walii hin galu. </w:t>
      </w:r>
    </w:p>
    <w:p>
      <w:pPr>
        <w:pStyle w:val="style0"/>
        <w:numPr>
          <w:ilvl w:val="0"/>
          <w:numId w:val="6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Giddu galeessaan walii galuu</w:t>
      </w:r>
    </w:p>
    <w:p>
      <w:pPr>
        <w:pStyle w:val="style0"/>
        <w:numPr>
          <w:ilvl w:val="0"/>
          <w:numId w:val="6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Sirriittiin walii gala</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Koreen shallaggii gibiraa itti gaafatamummaa gibira galii keessan murteessuu irratti loogii akka hin qabne walii galtuu?</w:t>
      </w:r>
    </w:p>
    <w:p>
      <w:pPr>
        <w:pStyle w:val="style0"/>
        <w:numPr>
          <w:ilvl w:val="0"/>
          <w:numId w:val="4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Sirriitti walii hin gallu                                         </w:t>
      </w:r>
    </w:p>
    <w:p>
      <w:pPr>
        <w:pStyle w:val="style0"/>
        <w:numPr>
          <w:ilvl w:val="0"/>
          <w:numId w:val="4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B.Giddu galeessaan walii hin gallu                       </w:t>
      </w:r>
    </w:p>
    <w:p>
      <w:pPr>
        <w:pStyle w:val="style0"/>
        <w:numPr>
          <w:ilvl w:val="0"/>
          <w:numId w:val="4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Homaanu walii hin galu</w:t>
      </w:r>
    </w:p>
    <w:p>
      <w:pPr>
        <w:pStyle w:val="style0"/>
        <w:numPr>
          <w:ilvl w:val="0"/>
          <w:numId w:val="4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galuu </w:t>
      </w:r>
    </w:p>
    <w:p>
      <w:pPr>
        <w:pStyle w:val="style0"/>
        <w:numPr>
          <w:ilvl w:val="0"/>
          <w:numId w:val="4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Sirriittiin walii gala</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Kaffaltoonni gibiraa tarkaanfiin raawwachiisummaa abbootii taayitaa gibiraa bu’a qabeessa akka hin taane fudhatan Uummanni isaanii xiqqaadha</w:t>
      </w:r>
    </w:p>
    <w:p>
      <w:pPr>
        <w:pStyle w:val="style0"/>
        <w:numPr>
          <w:ilvl w:val="0"/>
          <w:numId w:val="4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Sirriitti walii hin gallu                                         </w:t>
      </w:r>
    </w:p>
    <w:p>
      <w:pPr>
        <w:pStyle w:val="style0"/>
        <w:numPr>
          <w:ilvl w:val="0"/>
          <w:numId w:val="4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hin gallu                          </w:t>
      </w:r>
    </w:p>
    <w:p>
      <w:pPr>
        <w:pStyle w:val="style0"/>
        <w:numPr>
          <w:ilvl w:val="0"/>
          <w:numId w:val="4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Homaanu walii hin galu</w:t>
      </w:r>
    </w:p>
    <w:p>
      <w:pPr>
        <w:pStyle w:val="style0"/>
        <w:numPr>
          <w:ilvl w:val="0"/>
          <w:numId w:val="4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Giddu galeessaan walii galuu</w:t>
      </w:r>
    </w:p>
    <w:p>
      <w:pPr>
        <w:pStyle w:val="style0"/>
        <w:numPr>
          <w:ilvl w:val="0"/>
          <w:numId w:val="4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Sirriittin walii gala</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Adabbiin yookiin raawwachiisni seeraa yoo hin jiraanne kaffaltoonni gibiraa Gibira kaffaluu dhiisuu danda’u</w:t>
      </w:r>
    </w:p>
    <w:p>
      <w:pPr>
        <w:pStyle w:val="style0"/>
        <w:numPr>
          <w:ilvl w:val="0"/>
          <w:numId w:val="4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Sirriitti walii hin gallu                                         </w:t>
      </w:r>
    </w:p>
    <w:p>
      <w:pPr>
        <w:pStyle w:val="style0"/>
        <w:numPr>
          <w:ilvl w:val="0"/>
          <w:numId w:val="4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hin gallu                         </w:t>
      </w:r>
    </w:p>
    <w:p>
      <w:pPr>
        <w:pStyle w:val="style0"/>
        <w:numPr>
          <w:ilvl w:val="0"/>
          <w:numId w:val="4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Homaanu walii hin galu. </w:t>
      </w:r>
    </w:p>
    <w:p>
      <w:pPr>
        <w:pStyle w:val="style0"/>
        <w:numPr>
          <w:ilvl w:val="0"/>
          <w:numId w:val="4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galuu </w:t>
      </w:r>
    </w:p>
    <w:p>
      <w:pPr>
        <w:pStyle w:val="style0"/>
        <w:numPr>
          <w:ilvl w:val="0"/>
          <w:numId w:val="4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Sirrittiin walii gala</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Kaffaltoonni gibiraa osoo hin hubatamin yoo hafan gibira jalaa miliquu yoo ta’e yakka itti dhaga’ama</w:t>
      </w:r>
    </w:p>
    <w:p>
      <w:pPr>
        <w:pStyle w:val="style0"/>
        <w:numPr>
          <w:ilvl w:val="0"/>
          <w:numId w:val="4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Sirriitti walii hin gallu       </w:t>
      </w:r>
    </w:p>
    <w:p>
      <w:pPr>
        <w:pStyle w:val="style0"/>
        <w:numPr>
          <w:ilvl w:val="0"/>
          <w:numId w:val="4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Giddu galeessaan walii hin gallu</w:t>
      </w:r>
    </w:p>
    <w:p>
      <w:pPr>
        <w:pStyle w:val="style0"/>
        <w:numPr>
          <w:ilvl w:val="0"/>
          <w:numId w:val="4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Homaanu walii hin galu</w:t>
      </w:r>
    </w:p>
    <w:p>
      <w:pPr>
        <w:pStyle w:val="style0"/>
        <w:numPr>
          <w:ilvl w:val="0"/>
          <w:numId w:val="4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galuu </w:t>
      </w:r>
    </w:p>
    <w:p>
      <w:pPr>
        <w:pStyle w:val="style0"/>
        <w:numPr>
          <w:ilvl w:val="0"/>
          <w:numId w:val="4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Sirriittin walii gala</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Kaffaltoonni gibiraa adabbii seera kabajuu dhabuu irratti hubannoo qaban kanneen hubannoo akkasii hin qabne caalaa seera kabaju.</w:t>
      </w:r>
    </w:p>
    <w:p>
      <w:pPr>
        <w:pStyle w:val="style0"/>
        <w:numPr>
          <w:ilvl w:val="0"/>
          <w:numId w:val="5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Sirriitti walii hin gallu                                         </w:t>
      </w:r>
    </w:p>
    <w:p>
      <w:pPr>
        <w:pStyle w:val="style0"/>
        <w:numPr>
          <w:ilvl w:val="0"/>
          <w:numId w:val="5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hin gallu                     </w:t>
      </w:r>
    </w:p>
    <w:p>
      <w:pPr>
        <w:pStyle w:val="style0"/>
        <w:numPr>
          <w:ilvl w:val="0"/>
          <w:numId w:val="5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Homaanu walii hin galu</w:t>
      </w:r>
    </w:p>
    <w:p>
      <w:pPr>
        <w:pStyle w:val="style0"/>
        <w:numPr>
          <w:ilvl w:val="0"/>
          <w:numId w:val="5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galuu </w:t>
      </w:r>
    </w:p>
    <w:p>
      <w:pPr>
        <w:pStyle w:val="style0"/>
        <w:numPr>
          <w:ilvl w:val="0"/>
          <w:numId w:val="5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Sirriittiin walii gala</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0"/>
        <w:gridCol w:w="2700"/>
        <w:gridCol w:w="990"/>
        <w:gridCol w:w="900"/>
        <w:gridCol w:w="1260"/>
        <w:gridCol w:w="1260"/>
        <w:gridCol w:w="1710"/>
      </w:tblGrid>
      <w:tr>
        <w:trPr/>
        <w:tc>
          <w:tcPr>
            <w:tcW w:w="108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Ser.</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Lakki</w:t>
            </w:r>
            <w:r>
              <w:rPr>
                <w:rFonts w:ascii="Times New Roman" w:cs="Times New Roman" w:eastAsia="Times New Roman" w:hAnsi="Times New Roman"/>
                <w:sz w:val="24"/>
                <w:szCs w:val="24"/>
              </w:rPr>
              <w:t>.</w:t>
            </w:r>
          </w:p>
        </w:tc>
        <w:tc>
          <w:tcPr>
            <w:tcW w:w="27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Gaaffilee</w:t>
            </w:r>
          </w:p>
        </w:tc>
        <w:tc>
          <w:tcPr>
            <w:tcW w:w="99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Baay'ee gaarii</w:t>
            </w:r>
          </w:p>
        </w:tc>
        <w:tc>
          <w:tcPr>
            <w:tcW w:w="9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Gaarii</w:t>
            </w:r>
          </w:p>
        </w:tc>
        <w:tc>
          <w:tcPr>
            <w:tcW w:w="126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Lamaanuu miti</w:t>
            </w:r>
          </w:p>
        </w:tc>
        <w:tc>
          <w:tcPr>
            <w:tcW w:w="126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Hiyyeessa</w:t>
            </w:r>
          </w:p>
        </w:tc>
        <w:tc>
          <w:tcPr>
            <w:tcW w:w="171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Baay'ee darbaa</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Hiyyeessa</w:t>
            </w:r>
          </w:p>
        </w:tc>
      </w:tr>
      <w:tr>
        <w:tblPrEx/>
        <w:trPr/>
        <w:tc>
          <w:tcPr>
            <w:tcW w:w="108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numPr>
                <w:ilvl w:val="0"/>
                <w:numId w:val="32"/>
              </w:numPr>
              <w:spacing w:after="0" w:lineRule="auto" w:line="360"/>
              <w:ind w:right="115"/>
              <w:jc w:val="both"/>
              <w:rPr>
                <w:rFonts w:ascii="Times New Roman" w:cs="Times New Roman" w:eastAsia="Times New Roman" w:hAnsi="Times New Roman"/>
                <w:b/>
                <w:sz w:val="24"/>
                <w:szCs w:val="24"/>
              </w:rPr>
            </w:pPr>
          </w:p>
        </w:tc>
        <w:tc>
          <w:tcPr>
            <w:tcW w:w="27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Waa'ee ummataa maal jettu</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Ilaalcha gibiraaf qabdu, si dabalatee?</w:t>
            </w:r>
          </w:p>
        </w:tc>
        <w:tc>
          <w:tcPr>
            <w:tcW w:w="99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9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c>
          <w:tcPr>
            <w:tcW w:w="171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p>
        </w:tc>
      </w:tr>
    </w:tbl>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Hawaasa tokko keessatti aadaan gibira kaffaluu ol’aanaa waan ta’eef sadarkaan gibira kabajuus ol’aanaadha</w:t>
      </w:r>
    </w:p>
    <w:p>
      <w:pPr>
        <w:pStyle w:val="style0"/>
        <w:numPr>
          <w:ilvl w:val="0"/>
          <w:numId w:val="5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Sirriitti walii hin gallu                                          </w:t>
      </w:r>
    </w:p>
    <w:p>
      <w:pPr>
        <w:pStyle w:val="style0"/>
        <w:numPr>
          <w:ilvl w:val="0"/>
          <w:numId w:val="5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hin gallu                          </w:t>
      </w:r>
    </w:p>
    <w:p>
      <w:pPr>
        <w:pStyle w:val="style0"/>
        <w:numPr>
          <w:ilvl w:val="0"/>
          <w:numId w:val="5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.Homaanu walii hin galu</w:t>
      </w:r>
    </w:p>
    <w:p>
      <w:pPr>
        <w:pStyle w:val="style0"/>
        <w:numPr>
          <w:ilvl w:val="0"/>
          <w:numId w:val="5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Giddu galeessaan walii galuu</w:t>
      </w:r>
    </w:p>
    <w:p>
      <w:pPr>
        <w:pStyle w:val="style0"/>
        <w:numPr>
          <w:ilvl w:val="0"/>
          <w:numId w:val="51"/>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Sirriittiin walii gala</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Garaagarummaan aadaa gatiiwwan naamusaa fi guddina naamusaa irratti dhiibbaa kallatti akka Qabuu fi dhuma irratti murtii gibira kabajuu irratti dhiibbaa akka qabu irratti walii galtuu?</w:t>
      </w:r>
    </w:p>
    <w:p>
      <w:pPr>
        <w:pStyle w:val="style0"/>
        <w:numPr>
          <w:ilvl w:val="0"/>
          <w:numId w:val="5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Sirriitti walii hin gallu                                          </w:t>
      </w:r>
    </w:p>
    <w:p>
      <w:pPr>
        <w:pStyle w:val="style0"/>
        <w:numPr>
          <w:ilvl w:val="0"/>
          <w:numId w:val="5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B.Giddu galeessaan walii hin gallu                        </w:t>
      </w:r>
    </w:p>
    <w:p>
      <w:pPr>
        <w:pStyle w:val="style0"/>
        <w:numPr>
          <w:ilvl w:val="0"/>
          <w:numId w:val="5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C.Homaanu walii hin galu</w:t>
      </w:r>
    </w:p>
    <w:p>
      <w:pPr>
        <w:pStyle w:val="style0"/>
        <w:numPr>
          <w:ilvl w:val="0"/>
          <w:numId w:val="5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galuu </w:t>
      </w:r>
    </w:p>
    <w:p>
      <w:pPr>
        <w:pStyle w:val="style0"/>
        <w:numPr>
          <w:ilvl w:val="0"/>
          <w:numId w:val="52"/>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Sirriittin walii gala </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Hawaasa duudhaa (aadaa) seera gibiraa olaanaa kabajuu qabu keessatti kaffaltoonni gibiraa muraasni tooftaa gibira dhoksuu yaalu turan.</w:t>
      </w:r>
    </w:p>
    <w:p>
      <w:pPr>
        <w:pStyle w:val="style0"/>
        <w:numPr>
          <w:ilvl w:val="0"/>
          <w:numId w:val="5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Sirriitti walii hin gallu                                        </w:t>
      </w:r>
    </w:p>
    <w:p>
      <w:pPr>
        <w:pStyle w:val="style0"/>
        <w:numPr>
          <w:ilvl w:val="0"/>
          <w:numId w:val="5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B.Giddu galeessaan walii hin gallu                 </w:t>
      </w:r>
    </w:p>
    <w:p>
      <w:pPr>
        <w:pStyle w:val="style0"/>
        <w:numPr>
          <w:ilvl w:val="0"/>
          <w:numId w:val="5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C.Homaanu walii hin galu.    </w:t>
      </w:r>
    </w:p>
    <w:p>
      <w:pPr>
        <w:pStyle w:val="style0"/>
        <w:numPr>
          <w:ilvl w:val="0"/>
          <w:numId w:val="5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galuu </w:t>
      </w:r>
    </w:p>
    <w:p>
      <w:pPr>
        <w:pStyle w:val="style0"/>
        <w:numPr>
          <w:ilvl w:val="0"/>
          <w:numId w:val="53"/>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Sirriittiin walii gala</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Kaffaltoonni gibiraa biroo seera kabajuu dhabuun kaffaltoota gibiraa seera kabaju irratti dhiibbaa hamaa qaba’Amala</w:t>
      </w:r>
    </w:p>
    <w:p>
      <w:pPr>
        <w:pStyle w:val="style0"/>
        <w:numPr>
          <w:ilvl w:val="0"/>
          <w:numId w:val="5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Sirriitti walii hin gallu                                        </w:t>
      </w:r>
    </w:p>
    <w:p>
      <w:pPr>
        <w:pStyle w:val="style0"/>
        <w:numPr>
          <w:ilvl w:val="0"/>
          <w:numId w:val="5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hin gallu               </w:t>
      </w:r>
    </w:p>
    <w:p>
      <w:pPr>
        <w:pStyle w:val="style0"/>
        <w:numPr>
          <w:ilvl w:val="0"/>
          <w:numId w:val="5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C.Homaanu walii hin galu</w:t>
      </w:r>
    </w:p>
    <w:p>
      <w:pPr>
        <w:pStyle w:val="style0"/>
        <w:numPr>
          <w:ilvl w:val="0"/>
          <w:numId w:val="5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Giddu galeessaan waliin galuu</w:t>
      </w:r>
    </w:p>
    <w:p>
      <w:pPr>
        <w:pStyle w:val="style0"/>
        <w:numPr>
          <w:ilvl w:val="0"/>
          <w:numId w:val="54"/>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Sirriittiin walii gala </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Si dabalatee kaffaltoonni gibiraa seera kabajuu dhabuun keessan hanga garee keessatti eegamuu fi seera waliin walsimutti seera kabajuu dhabuu raawwachuu akka danda’an walii galtuu?</w:t>
      </w:r>
    </w:p>
    <w:p>
      <w:pPr>
        <w:pStyle w:val="style0"/>
        <w:numPr>
          <w:ilvl w:val="0"/>
          <w:numId w:val="5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Sirriitti walii hin gallu              </w:t>
      </w:r>
    </w:p>
    <w:p>
      <w:pPr>
        <w:pStyle w:val="style0"/>
        <w:numPr>
          <w:ilvl w:val="0"/>
          <w:numId w:val="5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hin gallu                </w:t>
      </w:r>
    </w:p>
    <w:p>
      <w:pPr>
        <w:pStyle w:val="style0"/>
        <w:numPr>
          <w:ilvl w:val="0"/>
          <w:numId w:val="5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C Homaanu walii hin galu.  </w:t>
      </w:r>
    </w:p>
    <w:p>
      <w:pPr>
        <w:pStyle w:val="style0"/>
        <w:numPr>
          <w:ilvl w:val="0"/>
          <w:numId w:val="5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galuu </w:t>
      </w:r>
    </w:p>
    <w:p>
      <w:pPr>
        <w:pStyle w:val="style0"/>
        <w:numPr>
          <w:ilvl w:val="0"/>
          <w:numId w:val="55"/>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Sirriittiin walii gala</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Kaffaltoonni gibiraa namoonni garee isaaniif barbaachisoo ta’an hedduun gibira jalaa miliquu isaanii waan beekaniif, waadaa isaan ajajuuf qaban Ni laafaa ta’a.</w:t>
      </w:r>
    </w:p>
    <w:p>
      <w:pPr>
        <w:pStyle w:val="style0"/>
        <w:numPr>
          <w:ilvl w:val="0"/>
          <w:numId w:val="5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Sirriitti walii hin gallu                                        </w:t>
      </w:r>
    </w:p>
    <w:p>
      <w:pPr>
        <w:pStyle w:val="style0"/>
        <w:numPr>
          <w:ilvl w:val="0"/>
          <w:numId w:val="5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hin gallu                 </w:t>
      </w:r>
    </w:p>
    <w:p>
      <w:pPr>
        <w:pStyle w:val="style0"/>
        <w:numPr>
          <w:ilvl w:val="0"/>
          <w:numId w:val="5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Homaanu walii hin galu</w:t>
      </w:r>
    </w:p>
    <w:p>
      <w:pPr>
        <w:pStyle w:val="style0"/>
        <w:numPr>
          <w:ilvl w:val="0"/>
          <w:numId w:val="5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Giddu galeessaan walii galuu</w:t>
      </w:r>
    </w:p>
    <w:p>
      <w:pPr>
        <w:pStyle w:val="style0"/>
        <w:numPr>
          <w:ilvl w:val="0"/>
          <w:numId w:val="56"/>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Sirriittin walii gala</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Sirni siyaasaa gaariin ilaalcha kaffaltoota gibiraa irratti dhiibbaa gaarii akka qabu irratti walii galtuu? Sirna gibiraa wards gochuuf?</w:t>
      </w:r>
    </w:p>
    <w:p>
      <w:pPr>
        <w:pStyle w:val="style0"/>
        <w:numPr>
          <w:ilvl w:val="0"/>
          <w:numId w:val="5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Sirriitti walii hin gallu                                        </w:t>
      </w:r>
    </w:p>
    <w:p>
      <w:pPr>
        <w:pStyle w:val="style0"/>
        <w:numPr>
          <w:ilvl w:val="0"/>
          <w:numId w:val="5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hin gallu                 </w:t>
      </w:r>
    </w:p>
    <w:p>
      <w:pPr>
        <w:pStyle w:val="style0"/>
        <w:numPr>
          <w:ilvl w:val="0"/>
          <w:numId w:val="5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Homaanu walii hin galu</w:t>
      </w:r>
    </w:p>
    <w:p>
      <w:pPr>
        <w:pStyle w:val="style0"/>
        <w:numPr>
          <w:ilvl w:val="0"/>
          <w:numId w:val="5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galuu </w:t>
      </w:r>
    </w:p>
    <w:p>
      <w:pPr>
        <w:pStyle w:val="style0"/>
        <w:numPr>
          <w:ilvl w:val="0"/>
          <w:numId w:val="57"/>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Sirriittiin walii gala</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Namoonni gibira kaffalan mootummaa irraa tajaajila hawaasummaa wal madaalu argachaa akka jiran irratti walii galtuu?</w:t>
      </w:r>
    </w:p>
    <w:p>
      <w:pPr>
        <w:pStyle w:val="style0"/>
        <w:numPr>
          <w:ilvl w:val="0"/>
          <w:numId w:val="5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Sirriitti walii hin gallu                                        </w:t>
      </w:r>
    </w:p>
    <w:p>
      <w:pPr>
        <w:pStyle w:val="style0"/>
        <w:numPr>
          <w:ilvl w:val="0"/>
          <w:numId w:val="5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hin gallu                  </w:t>
      </w:r>
    </w:p>
    <w:p>
      <w:pPr>
        <w:pStyle w:val="style0"/>
        <w:numPr>
          <w:ilvl w:val="0"/>
          <w:numId w:val="5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.Homaanu walii hin galu</w:t>
      </w:r>
    </w:p>
    <w:p>
      <w:pPr>
        <w:pStyle w:val="style0"/>
        <w:numPr>
          <w:ilvl w:val="0"/>
          <w:numId w:val="5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galuu </w:t>
      </w:r>
    </w:p>
    <w:p>
      <w:pPr>
        <w:pStyle w:val="style0"/>
        <w:numPr>
          <w:ilvl w:val="0"/>
          <w:numId w:val="58"/>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Sirriittin walii gala </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Amalli kaffaltoota gibiraa isin dabalatee itti quufinsa ykn itti quufinsa dhabuu keessan haala daldalaa mootummaa waliin qabdan irratti dhiibbaa akka qabu walii galtuu?</w:t>
      </w:r>
    </w:p>
    <w:p>
      <w:pPr>
        <w:pStyle w:val="style0"/>
        <w:numPr>
          <w:ilvl w:val="0"/>
          <w:numId w:val="5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 Sirriitti walii hin gallu                                        </w:t>
      </w:r>
    </w:p>
    <w:p>
      <w:pPr>
        <w:pStyle w:val="style0"/>
        <w:numPr>
          <w:ilvl w:val="0"/>
          <w:numId w:val="5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hin gallu            </w:t>
      </w:r>
    </w:p>
    <w:p>
      <w:pPr>
        <w:pStyle w:val="style0"/>
        <w:numPr>
          <w:ilvl w:val="0"/>
          <w:numId w:val="5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.Homaanu walii hin galu</w:t>
      </w:r>
    </w:p>
    <w:p>
      <w:pPr>
        <w:pStyle w:val="style0"/>
        <w:numPr>
          <w:ilvl w:val="0"/>
          <w:numId w:val="5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Giddu galeessaan walii galuu</w:t>
      </w:r>
    </w:p>
    <w:p>
      <w:pPr>
        <w:pStyle w:val="style0"/>
        <w:numPr>
          <w:ilvl w:val="0"/>
          <w:numId w:val="59"/>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Sirriittin walii gala</w:t>
      </w:r>
    </w:p>
    <w:p>
      <w:pPr>
        <w:pStyle w:val="style0"/>
        <w:numPr>
          <w:ilvl w:val="0"/>
          <w:numId w:val="32"/>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Ilaalchi kaffalaa gibiraa isin dabalatee sadarkaa waliigalaa gibiraa fi Gibira kabajuu irratti qabu ilaalcha waa’ee barbaadamummaa sagantaalee mootummaa fi mootummaa mataa isaa irratti Kan hundaa’e ta’uu irratti walii galtuu?</w:t>
      </w:r>
    </w:p>
    <w:p>
      <w:pPr>
        <w:pStyle w:val="style0"/>
        <w:numPr>
          <w:ilvl w:val="0"/>
          <w:numId w:val="60"/>
        </w:numPr>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sz w:val="24"/>
          <w:szCs w:val="24"/>
        </w:rPr>
        <w:t xml:space="preserve">. Sirriitti walii hin gallu                                        </w:t>
      </w:r>
    </w:p>
    <w:p>
      <w:pPr>
        <w:pStyle w:val="style0"/>
        <w:numPr>
          <w:ilvl w:val="0"/>
          <w:numId w:val="6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hin gallu             </w:t>
      </w:r>
    </w:p>
    <w:p>
      <w:pPr>
        <w:pStyle w:val="style0"/>
        <w:numPr>
          <w:ilvl w:val="0"/>
          <w:numId w:val="6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Homaanu walii hin galu.     </w:t>
      </w:r>
    </w:p>
    <w:p>
      <w:pPr>
        <w:pStyle w:val="style0"/>
        <w:numPr>
          <w:ilvl w:val="0"/>
          <w:numId w:val="6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Giddu galeessaan walii galuu </w:t>
      </w:r>
    </w:p>
    <w:p>
      <w:pPr>
        <w:pStyle w:val="style0"/>
        <w:numPr>
          <w:ilvl w:val="0"/>
          <w:numId w:val="60"/>
        </w:numPr>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Sirriittin walii gala</w:t>
      </w:r>
    </w:p>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b/>
          <w:sz w:val="24"/>
          <w:szCs w:val="24"/>
        </w:rPr>
        <w:t>Kutaa V: Gaaffiiwwan Ulaagaa Kaffaltoota Gibiraa (Jijjiiramaa Hirkataa) wajjin walqabatan.</w:t>
      </w:r>
    </w:p>
    <w:tbl>
      <w:tblPr>
        <w:tblW w:w="10980" w:type="dxa"/>
        <w:tblInd w:w="-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0"/>
        <w:gridCol w:w="2520"/>
        <w:gridCol w:w="1170"/>
        <w:gridCol w:w="1800"/>
        <w:gridCol w:w="1800"/>
        <w:gridCol w:w="1800"/>
        <w:gridCol w:w="1080"/>
      </w:tblGrid>
      <w:tr>
        <w:trPr>
          <w:trHeight w:val="772" w:hRule="atLeast"/>
        </w:trPr>
        <w:tc>
          <w:tcPr>
            <w:tcW w:w="81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Ser.</w:t>
            </w:r>
          </w:p>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Lakk.</w:t>
            </w:r>
          </w:p>
        </w:tc>
        <w:tc>
          <w:tcPr>
            <w:tcW w:w="252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Gaaffilee</w:t>
            </w:r>
          </w:p>
        </w:tc>
        <w:tc>
          <w:tcPr>
            <w:tcW w:w="117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sz w:val="24"/>
                <w:szCs w:val="24"/>
              </w:rPr>
              <w:t>Sirriitti walii hin gallu</w:t>
            </w: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sz w:val="24"/>
                <w:szCs w:val="24"/>
              </w:rPr>
              <w:t xml:space="preserve">Giddu galeessaan walii hin gallu                          </w:t>
            </w: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sz w:val="24"/>
                <w:szCs w:val="24"/>
              </w:rPr>
              <w:t xml:space="preserve">Homaanu walii hin galu.     </w:t>
            </w: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Giddu galeessaan waliigaluu</w:t>
            </w:r>
          </w:p>
        </w:tc>
        <w:tc>
          <w:tcPr>
            <w:tcW w:w="108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Sirriittin walii gala</w:t>
            </w:r>
          </w:p>
        </w:tc>
      </w:tr>
      <w:tr>
        <w:tblPrEx/>
        <w:trPr>
          <w:trHeight w:val="1105" w:hRule="atLeast"/>
        </w:trPr>
        <w:tc>
          <w:tcPr>
            <w:tcW w:w="81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numPr>
                <w:ilvl w:val="0"/>
                <w:numId w:val="32"/>
              </w:numPr>
              <w:spacing w:after="0" w:lineRule="auto" w:line="360"/>
              <w:ind w:right="115"/>
              <w:jc w:val="both"/>
              <w:rPr>
                <w:rFonts w:ascii="Times New Roman" w:cs="Times New Roman" w:eastAsia="Times New Roman" w:hAnsi="Times New Roman"/>
                <w:sz w:val="24"/>
                <w:szCs w:val="24"/>
              </w:rPr>
            </w:pPr>
          </w:p>
        </w:tc>
        <w:tc>
          <w:tcPr>
            <w:tcW w:w="252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Kaffaltoonni gibiraa gibira jalaa miliquu qabuyoo safartuun gibiraa garmalee olka’e</w:t>
            </w:r>
          </w:p>
        </w:tc>
        <w:tc>
          <w:tcPr>
            <w:tcW w:w="117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08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r>
      <w:tr>
        <w:tblPrEx/>
        <w:trPr>
          <w:trHeight w:val="833" w:hRule="atLeast"/>
        </w:trPr>
        <w:tc>
          <w:tcPr>
            <w:tcW w:w="81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numPr>
                <w:ilvl w:val="0"/>
                <w:numId w:val="32"/>
              </w:numPr>
              <w:spacing w:after="0" w:lineRule="auto" w:line="360"/>
              <w:ind w:right="115"/>
              <w:jc w:val="both"/>
              <w:rPr>
                <w:rFonts w:ascii="Times New Roman" w:cs="Times New Roman" w:eastAsia="Times New Roman" w:hAnsi="Times New Roman"/>
                <w:sz w:val="24"/>
                <w:szCs w:val="24"/>
              </w:rPr>
            </w:pPr>
          </w:p>
        </w:tc>
        <w:tc>
          <w:tcPr>
            <w:tcW w:w="252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Kaffaltoonni gibiraa gibira jalaa miliquu qabusirni gibiraa haqa kan hin qabne yoo ta’e</w:t>
            </w:r>
          </w:p>
        </w:tc>
        <w:tc>
          <w:tcPr>
            <w:tcW w:w="117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08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r>
      <w:tr>
        <w:tblPrEx/>
        <w:trPr>
          <w:trHeight w:val="1378" w:hRule="atLeast"/>
        </w:trPr>
        <w:tc>
          <w:tcPr>
            <w:tcW w:w="81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numPr>
                <w:ilvl w:val="0"/>
                <w:numId w:val="32"/>
              </w:numPr>
              <w:spacing w:after="0" w:lineRule="auto" w:line="360"/>
              <w:ind w:right="115"/>
              <w:jc w:val="both"/>
              <w:rPr>
                <w:rFonts w:ascii="Times New Roman" w:cs="Times New Roman" w:eastAsia="Times New Roman" w:hAnsi="Times New Roman"/>
                <w:sz w:val="24"/>
                <w:szCs w:val="24"/>
              </w:rPr>
            </w:pPr>
          </w:p>
        </w:tc>
        <w:tc>
          <w:tcPr>
            <w:tcW w:w="252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Kaffaltoonni gibiraa gibira jalaa miliquu qabuyoo maallaqa sana keessaa qooda guddaa ta’eGibira irraa walitti qabame qisaasama.</w:t>
            </w:r>
          </w:p>
        </w:tc>
        <w:tc>
          <w:tcPr>
            <w:tcW w:w="117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08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r>
      <w:tr>
        <w:tblPrEx/>
        <w:trPr>
          <w:trHeight w:val="1120" w:hRule="atLeast"/>
        </w:trPr>
        <w:tc>
          <w:tcPr>
            <w:tcW w:w="81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numPr>
                <w:ilvl w:val="0"/>
                <w:numId w:val="32"/>
              </w:numPr>
              <w:spacing w:after="0" w:lineRule="auto" w:line="360"/>
              <w:ind w:right="115"/>
              <w:jc w:val="both"/>
              <w:rPr>
                <w:rFonts w:ascii="Times New Roman" w:cs="Times New Roman" w:eastAsia="Times New Roman" w:hAnsi="Times New Roman"/>
                <w:sz w:val="24"/>
                <w:szCs w:val="24"/>
              </w:rPr>
            </w:pPr>
          </w:p>
        </w:tc>
        <w:tc>
          <w:tcPr>
            <w:tcW w:w="252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Kaffaltoonni gibiraa gibira jalaa miliquu qabuyoo carraan argachuuqabame gadi aanaadha</w:t>
            </w:r>
          </w:p>
        </w:tc>
        <w:tc>
          <w:tcPr>
            <w:tcW w:w="117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08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r>
      <w:tr>
        <w:tblPrEx/>
        <w:trPr>
          <w:trHeight w:val="1105" w:hRule="atLeast"/>
        </w:trPr>
        <w:tc>
          <w:tcPr>
            <w:tcW w:w="81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numPr>
                <w:ilvl w:val="0"/>
                <w:numId w:val="32"/>
              </w:numPr>
              <w:spacing w:after="0" w:lineRule="auto" w:line="360"/>
              <w:ind w:right="115"/>
              <w:jc w:val="both"/>
              <w:rPr>
                <w:rFonts w:ascii="Times New Roman" w:cs="Times New Roman" w:eastAsia="Times New Roman" w:hAnsi="Times New Roman"/>
                <w:sz w:val="24"/>
                <w:szCs w:val="24"/>
              </w:rPr>
            </w:pPr>
          </w:p>
        </w:tc>
        <w:tc>
          <w:tcPr>
            <w:tcW w:w="252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Dandeettii dhabuu irraa kan ka’e gibira jalaa miliquu kaffaluuf akka yakka/rakkootti ilaalamuu hin qabu</w:t>
            </w:r>
          </w:p>
        </w:tc>
        <w:tc>
          <w:tcPr>
            <w:tcW w:w="117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08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r>
      <w:tr>
        <w:tblPrEx/>
        <w:trPr>
          <w:trHeight w:val="833" w:hRule="atLeast"/>
        </w:trPr>
        <w:tc>
          <w:tcPr>
            <w:tcW w:w="81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numPr>
                <w:ilvl w:val="0"/>
                <w:numId w:val="32"/>
              </w:numPr>
              <w:spacing w:after="0" w:lineRule="auto" w:line="360"/>
              <w:ind w:right="115"/>
              <w:jc w:val="both"/>
              <w:rPr>
                <w:rFonts w:ascii="Times New Roman" w:cs="Times New Roman" w:eastAsia="Times New Roman" w:hAnsi="Times New Roman"/>
                <w:sz w:val="24"/>
                <w:szCs w:val="24"/>
              </w:rPr>
            </w:pPr>
          </w:p>
        </w:tc>
        <w:tc>
          <w:tcPr>
            <w:tcW w:w="252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Kaffaltoonni gibiraa gibira jalaa miliquu qabuYoo namni hundi hojjechaa jira ta'e.</w:t>
            </w:r>
          </w:p>
        </w:tc>
        <w:tc>
          <w:tcPr>
            <w:tcW w:w="117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08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r>
      <w:tr>
        <w:tblPrEx/>
        <w:trPr>
          <w:trHeight w:val="833" w:hRule="atLeast"/>
        </w:trPr>
        <w:tc>
          <w:tcPr>
            <w:tcW w:w="81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numPr>
                <w:ilvl w:val="0"/>
                <w:numId w:val="32"/>
              </w:numPr>
              <w:spacing w:after="0" w:lineRule="auto" w:line="360"/>
              <w:ind w:right="115"/>
              <w:jc w:val="both"/>
              <w:rPr>
                <w:rFonts w:ascii="Times New Roman" w:cs="Times New Roman" w:eastAsia="Times New Roman" w:hAnsi="Times New Roman"/>
                <w:sz w:val="24"/>
                <w:szCs w:val="24"/>
              </w:rPr>
            </w:pPr>
          </w:p>
        </w:tc>
        <w:tc>
          <w:tcPr>
            <w:tcW w:w="252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Walumaagalatti Gibira dhoksuun akka yakkaatti ilaalamuu hin qabu</w:t>
            </w:r>
          </w:p>
        </w:tc>
        <w:tc>
          <w:tcPr>
            <w:tcW w:w="117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c>
          <w:tcPr>
            <w:tcW w:w="1080" w:type="dxa"/>
            <w:tcBorders>
              <w:top w:val="single" w:sz="4" w:space="0" w:color="auto"/>
              <w:left w:val="single" w:sz="4" w:space="0" w:color="auto"/>
              <w:bottom w:val="single" w:sz="4" w:space="0" w:color="auto"/>
              <w:right w:val="single" w:sz="4" w:space="0" w:color="auto"/>
            </w:tcBorders>
            <w:shd w:val="clear" w:color="auto" w:fill="auto"/>
            <w:tcFitText w:val="false"/>
          </w:tcPr>
          <w:p>
            <w:pPr>
              <w:pStyle w:val="style0"/>
              <w:spacing w:after="0" w:lineRule="auto" w:line="360"/>
              <w:ind w:right="115"/>
              <w:jc w:val="both"/>
              <w:rPr>
                <w:rFonts w:ascii="Times New Roman" w:cs="Times New Roman" w:eastAsia="Times New Roman" w:hAnsi="Times New Roman"/>
                <w:b/>
                <w:sz w:val="24"/>
                <w:szCs w:val="24"/>
              </w:rPr>
            </w:pPr>
          </w:p>
        </w:tc>
      </w:tr>
    </w:tbl>
    <w:p>
      <w:pPr>
        <w:pStyle w:val="style0"/>
        <w:spacing w:after="0" w:lineRule="auto" w:line="360"/>
        <w:ind w:right="115"/>
        <w:jc w:val="both"/>
        <w:rPr>
          <w:rFonts w:ascii="Times New Roman" w:cs="Times New Roman" w:eastAsia="Times New Roman" w:hAnsi="Times New Roman"/>
          <w:sz w:val="24"/>
          <w:szCs w:val="24"/>
        </w:rPr>
      </w:pPr>
    </w:p>
    <w:p>
      <w:pPr>
        <w:pStyle w:val="style0"/>
        <w:numPr>
          <w:ilvl w:val="0"/>
          <w:numId w:val="32"/>
        </w:numPr>
        <w:spacing w:after="0" w:lineRule="auto" w:line="360"/>
        <w:ind w:right="115"/>
        <w:rPr>
          <w:rFonts w:ascii="Times New Roman" w:cs="Times New Roman" w:eastAsia="Times New Roman" w:hAnsi="Times New Roman"/>
          <w:sz w:val="24"/>
          <w:szCs w:val="24"/>
        </w:rPr>
      </w:pPr>
      <w:r>
        <w:rPr>
          <w:rFonts w:ascii="Times New Roman" w:cs="Times New Roman" w:eastAsia="Times New Roman" w:hAnsi="Times New Roman"/>
          <w:sz w:val="24"/>
          <w:szCs w:val="24"/>
        </w:rPr>
        <w:t>State Yoo Jiraate; __________________________________________________________</w:t>
      </w:r>
    </w:p>
    <w:p>
      <w:pPr>
        <w:pStyle w:val="style0"/>
        <w:spacing w:after="0" w:lineRule="auto" w:line="360"/>
        <w:ind w:right="115"/>
        <w:rPr>
          <w:rFonts w:ascii="Times New Roman" w:cs="Times New Roman" w:eastAsia="Times New Roman" w:hAnsi="Times New Roman"/>
          <w:sz w:val="24"/>
          <w:szCs w:val="24"/>
        </w:rPr>
      </w:pPr>
      <w:r>
        <w:rPr>
          <w:rFonts w:ascii="Times New Roman" w:cs="Times New Roman" w:eastAsia="Times New Roman" w:hAnsi="Times New Roman"/>
          <w:sz w:val="24"/>
          <w:szCs w:val="24"/>
        </w:rPr>
        <w:t>___________________________________________________________________________</w:t>
      </w:r>
    </w:p>
    <w:p>
      <w:pPr>
        <w:pStyle w:val="style0"/>
        <w:numPr>
          <w:ilvl w:val="0"/>
          <w:numId w:val="32"/>
        </w:numPr>
        <w:spacing w:after="0" w:lineRule="auto" w:line="360"/>
        <w:ind w:right="115"/>
        <w:rPr>
          <w:rFonts w:ascii="Times New Roman" w:cs="Times New Roman" w:eastAsia="Times New Roman" w:hAnsi="Times New Roman"/>
          <w:sz w:val="24"/>
          <w:szCs w:val="24"/>
        </w:rPr>
      </w:pPr>
      <w:r>
        <w:rPr>
          <w:rFonts w:ascii="Times New Roman" w:cs="Times New Roman" w:eastAsia="Times New Roman" w:hAnsi="Times New Roman"/>
          <w:sz w:val="24"/>
          <w:szCs w:val="24"/>
        </w:rPr>
        <w:t>Sirna gibiraa waliigalaa fi ilaalchi gaariin gibiraaf akkamitti akka uumamuu danda’u irratti yaada waliigalaa kenni.__________________________________________________________________</w:t>
      </w:r>
    </w:p>
    <w:p>
      <w:pPr>
        <w:pStyle w:val="style0"/>
        <w:spacing w:after="0" w:lineRule="auto" w:line="360"/>
        <w:ind w:right="115"/>
        <w:rPr>
          <w:rFonts w:ascii="Times New Roman" w:cs="Times New Roman" w:eastAsia="Times New Roman" w:hAnsi="Times New Roman"/>
          <w:sz w:val="24"/>
          <w:szCs w:val="24"/>
        </w:rPr>
      </w:pPr>
      <w:r>
        <w:rPr>
          <w:rFonts w:ascii="Times New Roman" w:cs="Times New Roman" w:eastAsia="Times New Roman" w:hAnsi="Times New Roman"/>
          <w:sz w:val="24"/>
          <w:szCs w:val="24"/>
        </w:rPr>
        <w:t>________________________________________________</w:t>
      </w:r>
      <w:r>
        <w:rPr>
          <w:rFonts w:ascii="Times New Roman" w:cs="Times New Roman" w:eastAsia="Times New Roman" w:hAnsi="Times New Roman"/>
          <w:sz w:val="24"/>
          <w:szCs w:val="24"/>
        </w:rPr>
        <w:t>_____________________________</w:t>
      </w: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p>
      <w:pPr>
        <w:pStyle w:val="style0"/>
        <w:spacing w:after="0" w:lineRule="auto" w:line="360"/>
        <w:ind w:right="115"/>
        <w:jc w:val="both"/>
        <w:rPr>
          <w:rFonts w:ascii="Times New Roman" w:cs="Times New Roman" w:eastAsia="Times New Roman" w:hAnsi="Times New Roman"/>
          <w:sz w:val="24"/>
          <w:szCs w:val="24"/>
        </w:rPr>
      </w:pPr>
    </w:p>
    <w:bookmarkStart w:id="178" w:name="_Toc204249806"/>
    <w:p>
      <w:pPr>
        <w:pStyle w:val="style3"/>
        <w:rPr>
          <w:rFonts w:ascii="Times New Roman" w:cs="Times New Roman" w:hAnsi="Times New Roman"/>
          <w:color w:val="auto"/>
        </w:rPr>
      </w:pPr>
      <w:r>
        <w:rPr>
          <w:rStyle w:val="style4100"/>
          <w:rFonts w:ascii="Times New Roman" w:cs="Times New Roman" w:hAnsi="Times New Roman"/>
          <w:b/>
          <w:bCs/>
          <w:color w:val="auto"/>
        </w:rPr>
        <w:t>Appendix C</w:t>
      </w:r>
      <w:r>
        <w:rPr>
          <w:rStyle w:val="style4100"/>
          <w:rFonts w:ascii="Times New Roman" w:cs="Times New Roman" w:hAnsi="Times New Roman"/>
          <w:b/>
          <w:bCs/>
          <w:color w:val="auto"/>
        </w:rPr>
        <w:t>:</w:t>
      </w:r>
      <w:r>
        <w:rPr>
          <w:rFonts w:ascii="Times New Roman" w:cs="Times New Roman" w:hAnsi="Times New Roman"/>
          <w:color w:val="auto"/>
        </w:rPr>
        <w:t xml:space="preserve"> Number of Large Tax Payers in Burayu Sub-City</w:t>
      </w:r>
      <w:bookmarkEnd w:id="178"/>
    </w:p>
    <w:tbl>
      <w:tblPr>
        <w:tblW w:w="8537"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28"/>
        <w:gridCol w:w="3105"/>
        <w:gridCol w:w="2624"/>
        <w:gridCol w:w="1980"/>
      </w:tblGrid>
      <w:tr>
        <w:trPr>
          <w:trHeight w:val="287" w:hRule="atLeast"/>
        </w:trPr>
        <w:tc>
          <w:tcPr>
            <w:tcW w:w="828"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No.</w:t>
            </w:r>
          </w:p>
        </w:tc>
        <w:tc>
          <w:tcPr>
            <w:tcW w:w="3105"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Kebele</w:t>
            </w:r>
          </w:p>
        </w:tc>
        <w:tc>
          <w:tcPr>
            <w:tcW w:w="2624"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Total Tax payers</w:t>
            </w:r>
          </w:p>
        </w:tc>
        <w:tc>
          <w:tcPr>
            <w:tcW w:w="198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Category “A”</w:t>
            </w:r>
          </w:p>
        </w:tc>
      </w:tr>
      <w:tr>
        <w:tblPrEx/>
        <w:trPr>
          <w:trHeight w:val="350" w:hRule="atLeast"/>
        </w:trPr>
        <w:tc>
          <w:tcPr>
            <w:tcW w:w="828" w:type="dxa"/>
            <w:tcBorders/>
            <w:tcFitText w:val="false"/>
          </w:tcPr>
          <w:p>
            <w:pPr>
              <w:pStyle w:val="style0"/>
              <w:numPr>
                <w:ilvl w:val="0"/>
                <w:numId w:val="31"/>
              </w:numPr>
              <w:spacing w:after="0" w:lineRule="auto" w:line="360"/>
              <w:ind w:right="115"/>
              <w:jc w:val="both"/>
              <w:rPr>
                <w:rFonts w:ascii="Times New Roman" w:cs="Times New Roman" w:eastAsia="Times New Roman" w:hAnsi="Times New Roman"/>
                <w:sz w:val="24"/>
                <w:szCs w:val="24"/>
              </w:rPr>
            </w:pPr>
          </w:p>
        </w:tc>
        <w:tc>
          <w:tcPr>
            <w:tcW w:w="3105"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Gefersa burayu </w:t>
            </w:r>
          </w:p>
        </w:tc>
        <w:tc>
          <w:tcPr>
            <w:tcW w:w="2624"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145</w:t>
            </w:r>
          </w:p>
        </w:tc>
        <w:tc>
          <w:tcPr>
            <w:tcW w:w="198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145</w:t>
            </w:r>
          </w:p>
        </w:tc>
      </w:tr>
      <w:tr>
        <w:tblPrEx/>
        <w:trPr>
          <w:trHeight w:val="341" w:hRule="atLeast"/>
        </w:trPr>
        <w:tc>
          <w:tcPr>
            <w:tcW w:w="828" w:type="dxa"/>
            <w:tcBorders/>
            <w:tcFitText w:val="false"/>
          </w:tcPr>
          <w:p>
            <w:pPr>
              <w:pStyle w:val="style0"/>
              <w:numPr>
                <w:ilvl w:val="0"/>
                <w:numId w:val="31"/>
              </w:numPr>
              <w:spacing w:after="0" w:lineRule="auto" w:line="360"/>
              <w:ind w:right="115"/>
              <w:jc w:val="both"/>
              <w:rPr>
                <w:rFonts w:ascii="Times New Roman" w:cs="Times New Roman" w:eastAsia="Times New Roman" w:hAnsi="Times New Roman"/>
                <w:sz w:val="24"/>
                <w:szCs w:val="24"/>
              </w:rPr>
            </w:pPr>
          </w:p>
        </w:tc>
        <w:tc>
          <w:tcPr>
            <w:tcW w:w="3105"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Kata </w:t>
            </w:r>
          </w:p>
        </w:tc>
        <w:tc>
          <w:tcPr>
            <w:tcW w:w="2624"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132</w:t>
            </w:r>
          </w:p>
        </w:tc>
        <w:tc>
          <w:tcPr>
            <w:tcW w:w="198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132</w:t>
            </w:r>
          </w:p>
        </w:tc>
      </w:tr>
      <w:tr>
        <w:tblPrEx/>
        <w:trPr>
          <w:trHeight w:val="341" w:hRule="atLeast"/>
        </w:trPr>
        <w:tc>
          <w:tcPr>
            <w:tcW w:w="828" w:type="dxa"/>
            <w:tcBorders/>
            <w:tcFitText w:val="false"/>
          </w:tcPr>
          <w:p>
            <w:pPr>
              <w:pStyle w:val="style0"/>
              <w:numPr>
                <w:ilvl w:val="0"/>
                <w:numId w:val="31"/>
              </w:numPr>
              <w:spacing w:after="0" w:lineRule="auto" w:line="360"/>
              <w:ind w:right="115"/>
              <w:jc w:val="both"/>
              <w:rPr>
                <w:rFonts w:ascii="Times New Roman" w:cs="Times New Roman" w:eastAsia="Times New Roman" w:hAnsi="Times New Roman"/>
                <w:sz w:val="24"/>
                <w:szCs w:val="24"/>
              </w:rPr>
            </w:pPr>
          </w:p>
        </w:tc>
        <w:tc>
          <w:tcPr>
            <w:tcW w:w="3105"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Hane Dima </w:t>
            </w:r>
          </w:p>
        </w:tc>
        <w:tc>
          <w:tcPr>
            <w:tcW w:w="2624"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130</w:t>
            </w:r>
          </w:p>
        </w:tc>
        <w:tc>
          <w:tcPr>
            <w:tcW w:w="198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130</w:t>
            </w:r>
          </w:p>
        </w:tc>
      </w:tr>
      <w:tr>
        <w:tblPrEx/>
        <w:trPr>
          <w:trHeight w:val="323" w:hRule="atLeast"/>
        </w:trPr>
        <w:tc>
          <w:tcPr>
            <w:tcW w:w="828" w:type="dxa"/>
            <w:tcBorders/>
            <w:tcFitText w:val="false"/>
          </w:tcPr>
          <w:p>
            <w:pPr>
              <w:pStyle w:val="style0"/>
              <w:numPr>
                <w:ilvl w:val="0"/>
                <w:numId w:val="31"/>
              </w:numPr>
              <w:spacing w:after="0" w:lineRule="auto" w:line="360"/>
              <w:ind w:right="115"/>
              <w:jc w:val="both"/>
              <w:rPr>
                <w:rFonts w:ascii="Times New Roman" w:cs="Times New Roman" w:eastAsia="Times New Roman" w:hAnsi="Times New Roman"/>
                <w:sz w:val="24"/>
                <w:szCs w:val="24"/>
              </w:rPr>
            </w:pPr>
          </w:p>
        </w:tc>
        <w:tc>
          <w:tcPr>
            <w:tcW w:w="3105"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 xml:space="preserve">Ejersa goro </w:t>
            </w:r>
          </w:p>
        </w:tc>
        <w:tc>
          <w:tcPr>
            <w:tcW w:w="2624"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108</w:t>
            </w:r>
          </w:p>
        </w:tc>
        <w:tc>
          <w:tcPr>
            <w:tcW w:w="1980"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108</w:t>
            </w:r>
          </w:p>
        </w:tc>
      </w:tr>
      <w:tr>
        <w:tblPrEx/>
        <w:trPr>
          <w:trHeight w:val="314" w:hRule="atLeast"/>
        </w:trPr>
        <w:tc>
          <w:tcPr>
            <w:tcW w:w="828" w:type="dxa"/>
            <w:tcBorders/>
            <w:tcFitText w:val="false"/>
          </w:tcPr>
          <w:p>
            <w:pPr>
              <w:pStyle w:val="style0"/>
              <w:numPr>
                <w:ilvl w:val="0"/>
                <w:numId w:val="31"/>
              </w:numPr>
              <w:spacing w:after="0" w:lineRule="auto" w:line="360"/>
              <w:ind w:right="115"/>
              <w:jc w:val="both"/>
              <w:rPr>
                <w:rFonts w:ascii="Times New Roman" w:cs="Times New Roman" w:eastAsia="Times New Roman" w:hAnsi="Times New Roman"/>
                <w:sz w:val="24"/>
                <w:szCs w:val="24"/>
              </w:rPr>
            </w:pPr>
          </w:p>
        </w:tc>
        <w:tc>
          <w:tcPr>
            <w:tcW w:w="3105" w:type="dxa"/>
            <w:tcBorders/>
            <w:tcFitText w:val="false"/>
          </w:tcPr>
          <w:p>
            <w:pPr>
              <w:pStyle w:val="style0"/>
              <w:spacing w:after="0" w:lineRule="auto" w:line="360"/>
              <w:ind w:right="115"/>
              <w:jc w:val="both"/>
              <w:rPr>
                <w:rFonts w:ascii="Times New Roman" w:cs="Times New Roman" w:eastAsia="Times New Roman" w:hAnsi="Times New Roman"/>
                <w:sz w:val="24"/>
                <w:szCs w:val="24"/>
              </w:rPr>
            </w:pPr>
            <w:r>
              <w:rPr>
                <w:rFonts w:ascii="Times New Roman" w:cs="Times New Roman" w:eastAsia="Times New Roman" w:hAnsi="Times New Roman"/>
                <w:sz w:val="24"/>
                <w:szCs w:val="24"/>
              </w:rPr>
              <w:t>Total</w:t>
            </w:r>
          </w:p>
        </w:tc>
        <w:tc>
          <w:tcPr>
            <w:tcW w:w="2624"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515</w:t>
            </w:r>
          </w:p>
        </w:tc>
        <w:tc>
          <w:tcPr>
            <w:tcW w:w="1980" w:type="dxa"/>
            <w:tcBorders/>
            <w:tcFitText w:val="false"/>
          </w:tcPr>
          <w:p>
            <w:pPr>
              <w:pStyle w:val="style0"/>
              <w:spacing w:after="0" w:lineRule="auto" w:line="360"/>
              <w:ind w:right="115"/>
              <w:jc w:val="both"/>
              <w:rPr>
                <w:rFonts w:ascii="Times New Roman" w:cs="Times New Roman" w:eastAsia="Times New Roman" w:hAnsi="Times New Roman"/>
                <w:b/>
                <w:sz w:val="24"/>
                <w:szCs w:val="24"/>
              </w:rPr>
            </w:pPr>
            <w:r>
              <w:rPr>
                <w:rFonts w:ascii="Times New Roman" w:cs="Times New Roman" w:eastAsia="Times New Roman" w:hAnsi="Times New Roman"/>
                <w:b/>
                <w:sz w:val="24"/>
                <w:szCs w:val="24"/>
              </w:rPr>
              <w:t>515</w:t>
            </w:r>
          </w:p>
        </w:tc>
      </w:tr>
    </w:tbl>
    <w:p>
      <w:pPr>
        <w:pStyle w:val="style0"/>
        <w:spacing w:after="0" w:lineRule="auto" w:line="360"/>
        <w:ind w:right="115"/>
        <w:jc w:val="both"/>
        <w:rPr>
          <w:rFonts w:ascii="Times New Roman" w:cs="Times New Roman" w:eastAsia="Times New Roman" w:hAnsi="Times New Roman"/>
          <w:i/>
          <w:sz w:val="24"/>
          <w:szCs w:val="24"/>
        </w:rPr>
      </w:pPr>
      <w:r>
        <w:rPr>
          <w:rFonts w:ascii="Times New Roman" w:cs="Times New Roman" w:eastAsia="Times New Roman" w:hAnsi="Times New Roman"/>
          <w:i/>
          <w:sz w:val="24"/>
          <w:szCs w:val="24"/>
        </w:rPr>
        <w:t xml:space="preserve">Source: Burayu Sub-city Revenue and Customs Authority   office,  </w:t>
      </w:r>
    </w:p>
    <w:p>
      <w:pPr>
        <w:pStyle w:val="style0"/>
        <w:spacing w:after="0" w:lineRule="auto" w:line="360"/>
        <w:ind w:right="115"/>
        <w:jc w:val="both"/>
        <w:rPr>
          <w:rFonts w:ascii="Times New Roman" w:cs="Times New Roman" w:eastAsia="Times New Roman" w:hAnsi="Times New Roman"/>
          <w:i/>
          <w:sz w:val="24"/>
          <w:szCs w:val="24"/>
        </w:rPr>
      </w:pPr>
    </w:p>
    <w:p>
      <w:pPr>
        <w:pStyle w:val="style0"/>
        <w:spacing w:after="0" w:lineRule="auto" w:line="360"/>
        <w:ind w:right="115"/>
        <w:jc w:val="both"/>
        <w:rPr>
          <w:rFonts w:ascii="Times New Roman" w:cs="Times New Roman" w:eastAsia="Times New Roman" w:hAnsi="Times New Roman"/>
          <w:i/>
          <w:sz w:val="24"/>
          <w:szCs w:val="24"/>
        </w:rPr>
      </w:pPr>
    </w:p>
    <w:p>
      <w:pPr>
        <w:pStyle w:val="style0"/>
        <w:spacing w:after="0" w:lineRule="auto" w:line="360"/>
        <w:ind w:right="115"/>
        <w:jc w:val="both"/>
        <w:rPr>
          <w:rFonts w:ascii="Times New Roman" w:cs="Times New Roman" w:eastAsia="Times New Roman" w:hAnsi="Times New Roman"/>
          <w:i/>
          <w:sz w:val="24"/>
          <w:szCs w:val="24"/>
        </w:rPr>
      </w:pPr>
    </w:p>
    <w:p>
      <w:pPr>
        <w:pStyle w:val="style0"/>
        <w:spacing w:after="0" w:lineRule="auto" w:line="360"/>
        <w:ind w:right="115"/>
        <w:jc w:val="both"/>
        <w:rPr>
          <w:rFonts w:ascii="Times New Roman" w:cs="Times New Roman" w:eastAsia="Times New Roman" w:hAnsi="Times New Roman"/>
          <w:i/>
          <w:sz w:val="24"/>
          <w:szCs w:val="24"/>
        </w:rPr>
      </w:pPr>
    </w:p>
    <w:p>
      <w:pPr>
        <w:pStyle w:val="style0"/>
        <w:spacing w:after="0" w:lineRule="auto" w:line="360"/>
        <w:ind w:right="115"/>
        <w:jc w:val="center"/>
        <w:rPr>
          <w:rFonts w:ascii="Times New Roman" w:cs="Times New Roman" w:eastAsia="Times New Roman" w:hAnsi="Times New Roman"/>
          <w:i/>
          <w:sz w:val="24"/>
          <w:szCs w:val="24"/>
        </w:rPr>
      </w:pPr>
    </w:p>
    <w:p>
      <w:pPr>
        <w:pStyle w:val="style0"/>
        <w:spacing w:after="0" w:lineRule="auto" w:line="360"/>
        <w:ind w:right="115"/>
        <w:jc w:val="center"/>
        <w:rPr>
          <w:rFonts w:ascii="Times New Roman" w:cs="Times New Roman" w:eastAsia="Times New Roman" w:hAnsi="Times New Roman"/>
          <w:i/>
          <w:sz w:val="24"/>
          <w:szCs w:val="24"/>
        </w:rPr>
      </w:pPr>
      <w:r>
        <w:rPr>
          <w:rFonts w:ascii="Times New Roman" w:cs="Times New Roman" w:eastAsia="Times New Roman" w:hAnsi="Times New Roman"/>
          <w:i/>
          <w:sz w:val="24"/>
          <w:szCs w:val="24"/>
        </w:rPr>
        <w:t>Galatoomaa!!!</w:t>
      </w:r>
    </w:p>
    <w:p>
      <w:pPr>
        <w:pStyle w:val="style0"/>
        <w:spacing w:after="0" w:lineRule="auto" w:line="360"/>
        <w:ind w:right="115"/>
        <w:jc w:val="both"/>
        <w:rPr>
          <w:rFonts w:ascii="Times New Roman" w:cs="Times New Roman" w:eastAsia="Times New Roman" w:hAnsi="Times New Roman"/>
          <w:b/>
          <w:sz w:val="24"/>
          <w:szCs w:val="24"/>
        </w:rPr>
      </w:pPr>
    </w:p>
    <w:p>
      <w:pPr>
        <w:pStyle w:val="style0"/>
        <w:spacing w:after="0" w:lineRule="auto" w:line="360"/>
        <w:ind w:right="115"/>
        <w:jc w:val="both"/>
        <w:rPr>
          <w:rFonts w:ascii="Times New Roman" w:cs="Times New Roman" w:eastAsia="Times New Roman" w:hAnsi="Times New Roman"/>
          <w:b/>
          <w:sz w:val="24"/>
          <w:szCs w:val="24"/>
        </w:rPr>
      </w:pPr>
    </w:p>
    <w:p>
      <w:pPr>
        <w:pStyle w:val="style0"/>
        <w:rPr>
          <w:rFonts w:ascii="Times New Roman" w:cs="Times New Roman" w:hAnsi="Times New Roman"/>
          <w:lang w:val="en-GB"/>
        </w:rPr>
      </w:pPr>
    </w:p>
    <w:sectPr>
      <w:pgSz w:w="12240" w:h="15840" w:orient="portrait"/>
      <w:pgMar w:top="1440" w:right="1440" w:bottom="1440" w:left="1440" w:header="720" w:footer="720" w:gutter="0"/>
      <w:pgNumType w:start="1" w:chapStyle="1"/>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00"/>
    <w:family w:val="roman"/>
    <w:pitch w:val="variable"/>
    <w:sig w:usb0="E0002EFF" w:usb1="C000785B" w:usb2="00000009" w:usb3="00000000" w:csb0="000001FF" w:csb1="00000000"/>
  </w:font>
  <w:font w:name="Arial">
    <w:altName w:val="Arial"/>
    <w:panose1 w:val="020b0604020002020204"/>
    <w:charset w:val="00"/>
    <w:family w:val="swiss"/>
    <w:pitch w:val="variable"/>
    <w:sig w:usb0="E0002EFF" w:usb1="C000785B" w:usb2="00000009" w:usb3="00000000" w:csb0="000001FF" w:csb1="00000000"/>
  </w:font>
  <w:font w:name="Symbol">
    <w:altName w:val="Symbol"/>
    <w:panose1 w:val="05050102010007020507"/>
    <w:charset w:val="02"/>
    <w:family w:val="roman"/>
    <w:pitch w:val="variable"/>
    <w:sig w:usb0="00000000" w:usb1="10000000" w:usb2="00000000" w:usb3="00000000" w:csb0="80000000" w:csb1="00000000"/>
  </w:font>
  <w:font w:name="Courier New">
    <w:altName w:val="Courier New"/>
    <w:panose1 w:val="02070309020002020404"/>
    <w:charset w:val="00"/>
    <w:family w:val="modern"/>
    <w:pitch w:val="fixed"/>
    <w:sig w:usb0="E0002E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SimSun">
    <w:altName w:val="宋体"/>
    <w:panose1 w:val="02010600030001010101"/>
    <w:charset w:val="86"/>
    <w:family w:val="auto"/>
    <w:pitch w:val="variable"/>
    <w:sig w:usb0="00000203" w:usb1="288F0000" w:usb2="00000016" w:usb3="00000000" w:csb0="00040001" w:csb1="00000000"/>
  </w:font>
  <w:font w:name="Calibri">
    <w:altName w:val="Calibri"/>
    <w:panose1 w:val="020f0502020002030204"/>
    <w:charset w:val="00"/>
    <w:family w:val="swiss"/>
    <w:pitch w:val="variable"/>
    <w:sig w:usb0="E4002EFF" w:usb1="C000247B" w:usb2="00000009" w:usb3="00000000" w:csb0="000001FF" w:csb1="00000000"/>
  </w:font>
  <w:font w:name="Cambria">
    <w:altName w:val="Cambria"/>
    <w:panose1 w:val="02040503050004030204"/>
    <w:charset w:val="00"/>
    <w:family w:val="roman"/>
    <w:pitch w:val="variable"/>
    <w:sig w:usb0="E00006FF" w:usb1="420024FF" w:usb2="02000000" w:usb3="00000000" w:csb0="0000019F" w:csb1="00000000"/>
  </w:font>
  <w:font w:name="Tahoma">
    <w:altName w:val="Tahoma"/>
    <w:panose1 w:val="020b0604030005040204"/>
    <w:charset w:val="00"/>
    <w:family w:val="swiss"/>
    <w:pitch w:val="variable"/>
    <w:sig w:usb0="E1002EFF" w:usb1="C000605B" w:usb2="00000029" w:usb3="00000000" w:csb0="000101FF" w:csb1="00000000"/>
  </w:font>
  <w:font w:name="DengXian">
    <w:altName w:val="等线"/>
    <w:panose1 w:val="00000000000000000000"/>
    <w:charset w:val="86"/>
    <w:family w:val="auto"/>
    <w:pitch w:val="variable"/>
    <w:sig w:usb0="A00002BF" w:usb1="38CF7CFA" w:usb2="00000016" w:usb3="00000000" w:csb0="0004000F" w:csb1="00000000"/>
  </w:font>
  <w:font w:name="NSimSun">
    <w:altName w:val="NSimSun"/>
    <w:panose1 w:val="02010609030001010101"/>
    <w:charset w:val="86"/>
    <w:family w:val="modern"/>
    <w:pitch w:val="fixed"/>
    <w:sig w:usb0="00000203" w:usb1="288F0000" w:usb2="00000016" w:usb3="00000000" w:csb0="00040001" w:csb1="00000000"/>
  </w:font>
  <w:font w:name="宋体">
    <w:altName w:val=""/>
    <w:panose1 w:val="00000000000000000000"/>
    <w:charset w:val="00"/>
    <w:family w:val="auto"/>
    <w:pitch w:val="default"/>
    <w:sig w:usb0="E0002AFF" w:usb1="C0007841" w:usb2="00000009" w:usb3="00000000" w:csb0="000001FF"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m="http://schemas.openxmlformats.org/officeDocument/2006/math" xmlns:w14="http://schemas.microsoft.com/office/word/2010/wordml">
  <w:p>
    <w:pPr>
      <w:pStyle w:val="style32"/>
      <w:rPr/>
    </w:pPr>
  </w:p>
  <w:p>
    <w:pPr>
      <w:pStyle w:val="style32"/>
      <w:jc w:val="center"/>
      <w:rPr/>
    </w:pPr>
  </w:p>
</w:ftr>
</file>

<file path=word/footer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m="http://schemas.openxmlformats.org/officeDocument/2006/math" xmlns:w14="http://schemas.microsoft.com/office/word/2010/wordml">
  <w:p>
    <w:pPr>
      <w:pStyle w:val="style32"/>
      <w:jc w:val="center"/>
      <w:rPr/>
    </w:pPr>
  </w:p>
  <w:p>
    <w:pPr>
      <w:pStyle w:val="style32"/>
      <w:rPr/>
    </w:pPr>
  </w:p>
</w:ftr>
</file>

<file path=word/footer3.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m="http://schemas.openxmlformats.org/officeDocument/2006/math" xmlns:w14="http://schemas.microsoft.com/office/word/2010/wordml">
  <w:p>
    <w:pPr>
      <w:pStyle w:val="style32"/>
      <w:jc w:val="center"/>
      <w:rPr/>
    </w:pPr>
    <w:r>
      <w:rPr/>
      <w:fldChar w:fldCharType="begin"/>
    </w:r>
    <w:r>
      <w:instrText xml:space="preserve"> PAGE   \* MERGEFORMAT </w:instrText>
    </w:r>
    <w:r>
      <w:rPr/>
      <w:fldChar w:fldCharType="separate"/>
    </w:r>
    <w:r>
      <w:rPr>
        <w:noProof/>
      </w:rPr>
      <w:t>x</w:t>
    </w:r>
    <w:r>
      <w:rPr/>
      <w:fldChar w:fldCharType="end"/>
    </w:r>
  </w:p>
  <w:p>
    <w:pPr>
      <w:pStyle w:val="style32"/>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hybridMultilevel"/>
    <w:tmpl w:val="06EE3D04"/>
    <w:lvl w:ilvl="0" w:tplc="885A53E6">
      <w:start w:val="1"/>
      <w:numFmt w:val="upperLetter"/>
      <w:lvlText w:val="%1."/>
      <w:lvlJc w:val="left"/>
      <w:pPr>
        <w:ind w:left="1080" w:hanging="360"/>
      </w:pPr>
      <w:rPr>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0000001"/>
    <w:multiLevelType w:val="hybridMultilevel"/>
    <w:tmpl w:val="A7CA6876"/>
    <w:lvl w:ilvl="0" w:tplc="824055B8">
      <w:start w:val="1"/>
      <w:numFmt w:val="upperLetter"/>
      <w:lvlText w:val="%1."/>
      <w:lvlJc w:val="left"/>
      <w:pPr>
        <w:ind w:left="648" w:hanging="360"/>
      </w:pPr>
      <w:rPr>
        <w:rFonts w:hint="default"/>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2">
    <w:nsid w:val="00000002"/>
    <w:multiLevelType w:val="hybridMultilevel"/>
    <w:tmpl w:val="B9486F76"/>
    <w:lvl w:ilvl="0" w:tplc="885A53E6">
      <w:start w:val="1"/>
      <w:numFmt w:val="upperLetter"/>
      <w:lvlText w:val="%1."/>
      <w:lvlJc w:val="left"/>
      <w:pPr>
        <w:ind w:left="1008" w:hanging="360"/>
      </w:pPr>
      <w:rPr>
        <w:sz w:val="24"/>
      </w:r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3">
    <w:nsid w:val="00000003"/>
    <w:multiLevelType w:val="hybridMultilevel"/>
    <w:tmpl w:val="CCFEDA36"/>
    <w:lvl w:ilvl="0" w:tplc="885A53E6">
      <w:start w:val="1"/>
      <w:numFmt w:val="upperLetter"/>
      <w:lvlText w:val="%1."/>
      <w:lvlJc w:val="left"/>
      <w:pPr>
        <w:ind w:left="765" w:hanging="360"/>
      </w:pPr>
      <w:rPr>
        <w:sz w:val="24"/>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4">
    <w:nsid w:val="00000004"/>
    <w:multiLevelType w:val="hybridMultilevel"/>
    <w:tmpl w:val="69FE8C6E"/>
    <w:lvl w:ilvl="0" w:tplc="885A53E6">
      <w:start w:val="1"/>
      <w:numFmt w:val="upperLetter"/>
      <w:lvlText w:val="%1."/>
      <w:lvlJc w:val="left"/>
      <w:pPr>
        <w:ind w:left="1080" w:hanging="360"/>
      </w:pPr>
      <w:rPr>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0000005"/>
    <w:multiLevelType w:val="hybridMultilevel"/>
    <w:tmpl w:val="515A4FEE"/>
    <w:lvl w:ilvl="0" w:tplc="885A53E6">
      <w:start w:val="1"/>
      <w:numFmt w:val="upperLetter"/>
      <w:lvlText w:val="%1."/>
      <w:lvlJc w:val="left"/>
      <w:pPr>
        <w:ind w:left="720" w:hanging="360"/>
      </w:pPr>
      <w:rPr>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0000006"/>
    <w:multiLevelType w:val="hybridMultilevel"/>
    <w:tmpl w:val="6658DD38"/>
    <w:lvl w:ilvl="0" w:tplc="885A53E6">
      <w:start w:val="1"/>
      <w:numFmt w:val="upperLetter"/>
      <w:lvlText w:val="%1."/>
      <w:lvlJc w:val="left"/>
      <w:pPr>
        <w:ind w:left="1008" w:hanging="360"/>
      </w:pPr>
      <w:rPr>
        <w:sz w:val="24"/>
      </w:r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7">
    <w:nsid w:val="00000007"/>
    <w:multiLevelType w:val="hybridMultilevel"/>
    <w:tmpl w:val="0C2C4990"/>
    <w:lvl w:ilvl="0" w:tplc="885A53E6">
      <w:start w:val="1"/>
      <w:numFmt w:val="upperLetter"/>
      <w:lvlText w:val="%1."/>
      <w:lvlJc w:val="left"/>
      <w:pPr>
        <w:ind w:left="720" w:hanging="360"/>
      </w:pPr>
      <w:rPr>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0000008"/>
    <w:multiLevelType w:val="hybridMultilevel"/>
    <w:tmpl w:val="275432B0"/>
    <w:lvl w:ilvl="0" w:tplc="885A53E6">
      <w:start w:val="1"/>
      <w:numFmt w:val="upperLetter"/>
      <w:lvlText w:val="%1."/>
      <w:lvlJc w:val="left"/>
      <w:pPr>
        <w:ind w:left="945" w:hanging="360"/>
      </w:pPr>
      <w:rPr>
        <w:sz w:val="24"/>
      </w:rPr>
    </w:lvl>
    <w:lvl w:ilvl="1" w:tplc="04090019" w:tentative="1">
      <w:start w:val="1"/>
      <w:numFmt w:val="lowerLetter"/>
      <w:lvlText w:val="%2."/>
      <w:lvlJc w:val="left"/>
      <w:pPr>
        <w:ind w:left="1665" w:hanging="360"/>
      </w:pPr>
    </w:lvl>
    <w:lvl w:ilvl="2" w:tplc="0409001B" w:tentative="1">
      <w:start w:val="1"/>
      <w:numFmt w:val="lowerRoman"/>
      <w:lvlText w:val="%3."/>
      <w:lvlJc w:val="right"/>
      <w:pPr>
        <w:ind w:left="2385" w:hanging="180"/>
      </w:pPr>
    </w:lvl>
    <w:lvl w:ilvl="3" w:tplc="0409000F" w:tentative="1">
      <w:start w:val="1"/>
      <w:numFmt w:val="decimal"/>
      <w:lvlText w:val="%4."/>
      <w:lvlJc w:val="left"/>
      <w:pPr>
        <w:ind w:left="3105" w:hanging="360"/>
      </w:pPr>
    </w:lvl>
    <w:lvl w:ilvl="4" w:tplc="04090019" w:tentative="1">
      <w:start w:val="1"/>
      <w:numFmt w:val="lowerLetter"/>
      <w:lvlText w:val="%5."/>
      <w:lvlJc w:val="left"/>
      <w:pPr>
        <w:ind w:left="3825" w:hanging="360"/>
      </w:pPr>
    </w:lvl>
    <w:lvl w:ilvl="5" w:tplc="0409001B" w:tentative="1">
      <w:start w:val="1"/>
      <w:numFmt w:val="lowerRoman"/>
      <w:lvlText w:val="%6."/>
      <w:lvlJc w:val="right"/>
      <w:pPr>
        <w:ind w:left="4545" w:hanging="180"/>
      </w:pPr>
    </w:lvl>
    <w:lvl w:ilvl="6" w:tplc="0409000F" w:tentative="1">
      <w:start w:val="1"/>
      <w:numFmt w:val="decimal"/>
      <w:lvlText w:val="%7."/>
      <w:lvlJc w:val="left"/>
      <w:pPr>
        <w:ind w:left="5265" w:hanging="360"/>
      </w:pPr>
    </w:lvl>
    <w:lvl w:ilvl="7" w:tplc="04090019" w:tentative="1">
      <w:start w:val="1"/>
      <w:numFmt w:val="lowerLetter"/>
      <w:lvlText w:val="%8."/>
      <w:lvlJc w:val="left"/>
      <w:pPr>
        <w:ind w:left="5985" w:hanging="360"/>
      </w:pPr>
    </w:lvl>
    <w:lvl w:ilvl="8" w:tplc="0409001B" w:tentative="1">
      <w:start w:val="1"/>
      <w:numFmt w:val="lowerRoman"/>
      <w:lvlText w:val="%9."/>
      <w:lvlJc w:val="right"/>
      <w:pPr>
        <w:ind w:left="6705" w:hanging="180"/>
      </w:pPr>
    </w:lvl>
  </w:abstractNum>
  <w:abstractNum w:abstractNumId="9">
    <w:nsid w:val="00000009"/>
    <w:multiLevelType w:val="hybridMultilevel"/>
    <w:tmpl w:val="8EC0D30A"/>
    <w:lvl w:ilvl="0" w:tplc="885A53E6">
      <w:start w:val="1"/>
      <w:numFmt w:val="upperLetter"/>
      <w:lvlText w:val="%1."/>
      <w:lvlJc w:val="left"/>
      <w:pPr>
        <w:ind w:left="1440" w:hanging="360"/>
      </w:pPr>
      <w:rPr>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0000000A"/>
    <w:multiLevelType w:val="hybridMultilevel"/>
    <w:tmpl w:val="11F2D6DC"/>
    <w:lvl w:ilvl="0" w:tplc="D45A356C">
      <w:start w:val="1"/>
      <w:numFmt w:val="upperLetter"/>
      <w:lvlText w:val="%1."/>
      <w:lvlJc w:val="left"/>
      <w:pPr>
        <w:ind w:left="648" w:hanging="360"/>
      </w:pPr>
      <w:rPr>
        <w:rFonts w:hint="default"/>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11">
    <w:nsid w:val="0000000B"/>
    <w:multiLevelType w:val="hybridMultilevel"/>
    <w:tmpl w:val="72349422"/>
    <w:lvl w:ilvl="0" w:tplc="885A53E6">
      <w:start w:val="1"/>
      <w:numFmt w:val="upperLetter"/>
      <w:lvlText w:val="%1."/>
      <w:lvlJc w:val="left"/>
      <w:pPr>
        <w:ind w:left="1008" w:hanging="360"/>
      </w:pPr>
      <w:rPr>
        <w:sz w:val="24"/>
      </w:r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12">
    <w:nsid w:val="0000000C"/>
    <w:multiLevelType w:val="hybridMultilevel"/>
    <w:tmpl w:val="96BC3BF6"/>
    <w:lvl w:ilvl="0" w:tplc="885A53E6">
      <w:start w:val="1"/>
      <w:numFmt w:val="upperLetter"/>
      <w:lvlText w:val="%1."/>
      <w:lvlJc w:val="left"/>
      <w:pPr>
        <w:ind w:left="1050" w:hanging="360"/>
      </w:pPr>
      <w:rPr>
        <w:sz w:val="24"/>
      </w:rPr>
    </w:lvl>
    <w:lvl w:ilvl="1" w:tplc="04090019" w:tentative="1">
      <w:start w:val="1"/>
      <w:numFmt w:val="lowerLetter"/>
      <w:lvlText w:val="%2."/>
      <w:lvlJc w:val="left"/>
      <w:pPr>
        <w:ind w:left="1770" w:hanging="360"/>
      </w:pPr>
    </w:lvl>
    <w:lvl w:ilvl="2" w:tplc="0409001B" w:tentative="1">
      <w:start w:val="1"/>
      <w:numFmt w:val="lowerRoman"/>
      <w:lvlText w:val="%3."/>
      <w:lvlJc w:val="right"/>
      <w:pPr>
        <w:ind w:left="2490" w:hanging="180"/>
      </w:pPr>
    </w:lvl>
    <w:lvl w:ilvl="3" w:tplc="0409000F" w:tentative="1">
      <w:start w:val="1"/>
      <w:numFmt w:val="decimal"/>
      <w:lvlText w:val="%4."/>
      <w:lvlJc w:val="left"/>
      <w:pPr>
        <w:ind w:left="3210" w:hanging="360"/>
      </w:pPr>
    </w:lvl>
    <w:lvl w:ilvl="4" w:tplc="04090019" w:tentative="1">
      <w:start w:val="1"/>
      <w:numFmt w:val="lowerLetter"/>
      <w:lvlText w:val="%5."/>
      <w:lvlJc w:val="left"/>
      <w:pPr>
        <w:ind w:left="3930" w:hanging="360"/>
      </w:pPr>
    </w:lvl>
    <w:lvl w:ilvl="5" w:tplc="0409001B" w:tentative="1">
      <w:start w:val="1"/>
      <w:numFmt w:val="lowerRoman"/>
      <w:lvlText w:val="%6."/>
      <w:lvlJc w:val="right"/>
      <w:pPr>
        <w:ind w:left="4650" w:hanging="180"/>
      </w:pPr>
    </w:lvl>
    <w:lvl w:ilvl="6" w:tplc="0409000F" w:tentative="1">
      <w:start w:val="1"/>
      <w:numFmt w:val="decimal"/>
      <w:lvlText w:val="%7."/>
      <w:lvlJc w:val="left"/>
      <w:pPr>
        <w:ind w:left="5370" w:hanging="360"/>
      </w:pPr>
    </w:lvl>
    <w:lvl w:ilvl="7" w:tplc="04090019" w:tentative="1">
      <w:start w:val="1"/>
      <w:numFmt w:val="lowerLetter"/>
      <w:lvlText w:val="%8."/>
      <w:lvlJc w:val="left"/>
      <w:pPr>
        <w:ind w:left="6090" w:hanging="360"/>
      </w:pPr>
    </w:lvl>
    <w:lvl w:ilvl="8" w:tplc="0409001B" w:tentative="1">
      <w:start w:val="1"/>
      <w:numFmt w:val="lowerRoman"/>
      <w:lvlText w:val="%9."/>
      <w:lvlJc w:val="right"/>
      <w:pPr>
        <w:ind w:left="6810" w:hanging="180"/>
      </w:pPr>
    </w:lvl>
  </w:abstractNum>
  <w:abstractNum w:abstractNumId="13">
    <w:nsid w:val="0000000D"/>
    <w:multiLevelType w:val="hybridMultilevel"/>
    <w:tmpl w:val="8DC42442"/>
    <w:lvl w:ilvl="0" w:tplc="885A53E6">
      <w:start w:val="1"/>
      <w:numFmt w:val="upperLetter"/>
      <w:lvlText w:val="%1."/>
      <w:lvlJc w:val="left"/>
      <w:pPr>
        <w:ind w:left="720" w:hanging="360"/>
      </w:pPr>
      <w:rPr>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000000E"/>
    <w:multiLevelType w:val="hybridMultilevel"/>
    <w:tmpl w:val="28B037AA"/>
    <w:lvl w:ilvl="0" w:tplc="885A53E6">
      <w:start w:val="1"/>
      <w:numFmt w:val="upperLetter"/>
      <w:lvlText w:val="%1."/>
      <w:lvlJc w:val="left"/>
      <w:pPr>
        <w:ind w:left="765" w:hanging="360"/>
      </w:pPr>
      <w:rPr>
        <w:sz w:val="24"/>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5">
    <w:nsid w:val="0000000F"/>
    <w:multiLevelType w:val="hybridMultilevel"/>
    <w:tmpl w:val="D00E1EA8"/>
    <w:lvl w:ilvl="0" w:tplc="885A53E6">
      <w:start w:val="1"/>
      <w:numFmt w:val="upperLetter"/>
      <w:lvlText w:val="%1."/>
      <w:lvlJc w:val="left"/>
      <w:pPr>
        <w:ind w:left="1440" w:hanging="360"/>
      </w:pPr>
      <w:rPr>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00000010"/>
    <w:multiLevelType w:val="hybridMultilevel"/>
    <w:tmpl w:val="BB2C087C"/>
    <w:lvl w:ilvl="0" w:tplc="885A53E6">
      <w:start w:val="1"/>
      <w:numFmt w:val="upperLetter"/>
      <w:lvlText w:val="%1."/>
      <w:lvlJc w:val="left"/>
      <w:pPr>
        <w:ind w:left="1080" w:hanging="360"/>
      </w:pPr>
      <w:rPr>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00000011"/>
    <w:multiLevelType w:val="hybridMultilevel"/>
    <w:tmpl w:val="8AF8D29E"/>
    <w:lvl w:ilvl="0" w:tplc="824055B8">
      <w:start w:val="1"/>
      <w:numFmt w:val="upperLetter"/>
      <w:lvlText w:val="%1."/>
      <w:lvlJc w:val="left"/>
      <w:pPr>
        <w:ind w:left="540" w:hanging="360"/>
      </w:pPr>
      <w:rPr>
        <w:rFonts w:hint="default"/>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18">
    <w:nsid w:val="00000012"/>
    <w:multiLevelType w:val="hybridMultilevel"/>
    <w:tmpl w:val="30440988"/>
    <w:lvl w:ilvl="0" w:tplc="04090015">
      <w:start w:val="1"/>
      <w:numFmt w:val="upperLetter"/>
      <w:lvlText w:val="%1."/>
      <w:lvlJc w:val="left"/>
      <w:pPr>
        <w:ind w:left="63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0000013"/>
    <w:multiLevelType w:val="hybridMultilevel"/>
    <w:tmpl w:val="3BD0FF64"/>
    <w:lvl w:ilvl="0" w:tplc="824055B8">
      <w:start w:val="1"/>
      <w:numFmt w:val="upperLetter"/>
      <w:lvlText w:val="%1."/>
      <w:lvlJc w:val="left"/>
      <w:pPr>
        <w:ind w:left="648" w:hanging="360"/>
      </w:pPr>
      <w:rPr>
        <w:rFonts w:hint="default"/>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20">
    <w:nsid w:val="00000014"/>
    <w:multiLevelType w:val="hybridMultilevel"/>
    <w:tmpl w:val="B99628CE"/>
    <w:lvl w:ilvl="0" w:tplc="885A53E6">
      <w:start w:val="1"/>
      <w:numFmt w:val="upperLetter"/>
      <w:lvlText w:val="%1."/>
      <w:lvlJc w:val="left"/>
      <w:pPr>
        <w:ind w:left="1050" w:hanging="360"/>
      </w:pPr>
      <w:rPr>
        <w:sz w:val="24"/>
      </w:rPr>
    </w:lvl>
    <w:lvl w:ilvl="1" w:tplc="04090019" w:tentative="1">
      <w:start w:val="1"/>
      <w:numFmt w:val="lowerLetter"/>
      <w:lvlText w:val="%2."/>
      <w:lvlJc w:val="left"/>
      <w:pPr>
        <w:ind w:left="1770" w:hanging="360"/>
      </w:pPr>
    </w:lvl>
    <w:lvl w:ilvl="2" w:tplc="0409001B" w:tentative="1">
      <w:start w:val="1"/>
      <w:numFmt w:val="lowerRoman"/>
      <w:lvlText w:val="%3."/>
      <w:lvlJc w:val="right"/>
      <w:pPr>
        <w:ind w:left="2490" w:hanging="180"/>
      </w:pPr>
    </w:lvl>
    <w:lvl w:ilvl="3" w:tplc="0409000F" w:tentative="1">
      <w:start w:val="1"/>
      <w:numFmt w:val="decimal"/>
      <w:lvlText w:val="%4."/>
      <w:lvlJc w:val="left"/>
      <w:pPr>
        <w:ind w:left="3210" w:hanging="360"/>
      </w:pPr>
    </w:lvl>
    <w:lvl w:ilvl="4" w:tplc="04090019" w:tentative="1">
      <w:start w:val="1"/>
      <w:numFmt w:val="lowerLetter"/>
      <w:lvlText w:val="%5."/>
      <w:lvlJc w:val="left"/>
      <w:pPr>
        <w:ind w:left="3930" w:hanging="360"/>
      </w:pPr>
    </w:lvl>
    <w:lvl w:ilvl="5" w:tplc="0409001B" w:tentative="1">
      <w:start w:val="1"/>
      <w:numFmt w:val="lowerRoman"/>
      <w:lvlText w:val="%6."/>
      <w:lvlJc w:val="right"/>
      <w:pPr>
        <w:ind w:left="4650" w:hanging="180"/>
      </w:pPr>
    </w:lvl>
    <w:lvl w:ilvl="6" w:tplc="0409000F" w:tentative="1">
      <w:start w:val="1"/>
      <w:numFmt w:val="decimal"/>
      <w:lvlText w:val="%7."/>
      <w:lvlJc w:val="left"/>
      <w:pPr>
        <w:ind w:left="5370" w:hanging="360"/>
      </w:pPr>
    </w:lvl>
    <w:lvl w:ilvl="7" w:tplc="04090019" w:tentative="1">
      <w:start w:val="1"/>
      <w:numFmt w:val="lowerLetter"/>
      <w:lvlText w:val="%8."/>
      <w:lvlJc w:val="left"/>
      <w:pPr>
        <w:ind w:left="6090" w:hanging="360"/>
      </w:pPr>
    </w:lvl>
    <w:lvl w:ilvl="8" w:tplc="0409001B" w:tentative="1">
      <w:start w:val="1"/>
      <w:numFmt w:val="lowerRoman"/>
      <w:lvlText w:val="%9."/>
      <w:lvlJc w:val="right"/>
      <w:pPr>
        <w:ind w:left="6810" w:hanging="180"/>
      </w:pPr>
    </w:lvl>
  </w:abstractNum>
  <w:abstractNum w:abstractNumId="21">
    <w:nsid w:val="00000015"/>
    <w:multiLevelType w:val="hybridMultilevel"/>
    <w:tmpl w:val="E8B86860"/>
    <w:lvl w:ilvl="0" w:tplc="885A53E6">
      <w:start w:val="1"/>
      <w:numFmt w:val="upperLetter"/>
      <w:lvlText w:val="%1."/>
      <w:lvlJc w:val="left"/>
      <w:pPr>
        <w:ind w:left="1185" w:hanging="360"/>
      </w:pPr>
      <w:rPr>
        <w:sz w:val="24"/>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22">
    <w:nsid w:val="00000016"/>
    <w:multiLevelType w:val="hybridMultilevel"/>
    <w:tmpl w:val="151E9638"/>
    <w:lvl w:ilvl="0" w:tplc="885A53E6">
      <w:start w:val="1"/>
      <w:numFmt w:val="upperLetter"/>
      <w:lvlText w:val="%1."/>
      <w:lvlJc w:val="left"/>
      <w:pPr>
        <w:ind w:left="765" w:hanging="360"/>
      </w:pPr>
      <w:rPr>
        <w:sz w:val="24"/>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23">
    <w:nsid w:val="00000017"/>
    <w:multiLevelType w:val="hybridMultilevel"/>
    <w:tmpl w:val="603E820E"/>
    <w:lvl w:ilvl="0" w:tplc="7AD852BC">
      <w:start w:val="1"/>
      <w:numFmt w:val="upperLetter"/>
      <w:lvlText w:val="%1."/>
      <w:lvlJc w:val="left"/>
      <w:pPr>
        <w:ind w:left="648" w:hanging="360"/>
      </w:pPr>
      <w:rPr>
        <w:rFonts w:hint="default"/>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24">
    <w:nsid w:val="00000018"/>
    <w:multiLevelType w:val="hybridMultilevel"/>
    <w:tmpl w:val="BCD4B098"/>
    <w:lvl w:ilvl="0" w:tplc="885A53E6">
      <w:start w:val="1"/>
      <w:numFmt w:val="upperLetter"/>
      <w:lvlText w:val="%1."/>
      <w:lvlJc w:val="left"/>
      <w:pPr>
        <w:ind w:left="1080" w:hanging="360"/>
      </w:pPr>
      <w:rPr>
        <w:sz w:val="24"/>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25">
    <w:nsid w:val="00000019"/>
    <w:multiLevelType w:val="hybridMultilevel"/>
    <w:tmpl w:val="B094D088"/>
    <w:lvl w:ilvl="0" w:tplc="885A53E6">
      <w:start w:val="1"/>
      <w:numFmt w:val="upperLetter"/>
      <w:lvlText w:val="%1."/>
      <w:lvlJc w:val="left"/>
      <w:pPr>
        <w:ind w:left="720" w:hanging="360"/>
      </w:pPr>
      <w:rPr>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0000001A"/>
    <w:multiLevelType w:val="hybridMultilevel"/>
    <w:tmpl w:val="41364654"/>
    <w:lvl w:ilvl="0" w:tplc="885A53E6">
      <w:start w:val="1"/>
      <w:numFmt w:val="upperLetter"/>
      <w:lvlText w:val="%1."/>
      <w:lvlJc w:val="left"/>
      <w:pPr>
        <w:ind w:left="1008" w:hanging="360"/>
      </w:pPr>
      <w:rPr>
        <w:sz w:val="24"/>
      </w:r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27">
    <w:nsid w:val="0000001B"/>
    <w:multiLevelType w:val="hybridMultilevel"/>
    <w:tmpl w:val="F63E375C"/>
    <w:lvl w:ilvl="0" w:tplc="04090015">
      <w:start w:val="1"/>
      <w:numFmt w:val="upp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8">
    <w:nsid w:val="0000001C"/>
    <w:multiLevelType w:val="hybridMultilevel"/>
    <w:tmpl w:val="D786B8F6"/>
    <w:lvl w:ilvl="0" w:tplc="04090015">
      <w:start w:val="1"/>
      <w:numFmt w:val="upp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9">
    <w:nsid w:val="0000001D"/>
    <w:multiLevelType w:val="hybridMultilevel"/>
    <w:tmpl w:val="5A88877E"/>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0000001E"/>
    <w:multiLevelType w:val="hybridMultilevel"/>
    <w:tmpl w:val="118EEE5C"/>
    <w:lvl w:ilvl="0" w:tplc="0409000F">
      <w:start w:val="1"/>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nsid w:val="0000001F"/>
    <w:multiLevelType w:val="hybridMultilevel"/>
    <w:tmpl w:val="7D966BD0"/>
    <w:lvl w:ilvl="0" w:tplc="04090015">
      <w:start w:val="1"/>
      <w:numFmt w:val="upp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2">
    <w:nsid w:val="00000020"/>
    <w:multiLevelType w:val="hybridMultilevel"/>
    <w:tmpl w:val="F662BB8C"/>
    <w:lvl w:ilvl="0" w:tplc="0409000F">
      <w:start w:val="1"/>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00000021"/>
    <w:multiLevelType w:val="hybridMultilevel"/>
    <w:tmpl w:val="89061180"/>
    <w:lvl w:ilvl="0" w:tplc="04090015">
      <w:start w:val="1"/>
      <w:numFmt w:val="upp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4">
    <w:nsid w:val="00000022"/>
    <w:multiLevelType w:val="hybridMultilevel"/>
    <w:tmpl w:val="1B3C2692"/>
    <w:lvl w:ilvl="0" w:tplc="04090015">
      <w:start w:val="1"/>
      <w:numFmt w:val="upp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5">
    <w:nsid w:val="00000023"/>
    <w:multiLevelType w:val="hybridMultilevel"/>
    <w:tmpl w:val="343A26A2"/>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00000024"/>
    <w:multiLevelType w:val="hybridMultilevel"/>
    <w:tmpl w:val="54A2343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00000025"/>
    <w:multiLevelType w:val="hybridMultilevel"/>
    <w:tmpl w:val="329A83EE"/>
    <w:lvl w:ilvl="0" w:tplc="04090015">
      <w:start w:val="1"/>
      <w:numFmt w:val="upp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8">
    <w:nsid w:val="00000026"/>
    <w:multiLevelType w:val="hybridMultilevel"/>
    <w:tmpl w:val="ABD80892"/>
    <w:lvl w:ilvl="0" w:tplc="885A53E6">
      <w:start w:val="1"/>
      <w:numFmt w:val="upperLetter"/>
      <w:lvlText w:val="%1."/>
      <w:lvlJc w:val="left"/>
      <w:pPr>
        <w:ind w:left="1080" w:hanging="360"/>
      </w:pPr>
      <w:rPr>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00000027"/>
    <w:multiLevelType w:val="hybridMultilevel"/>
    <w:tmpl w:val="4F1A1C5C"/>
    <w:lvl w:ilvl="0" w:tplc="0409000F">
      <w:start w:val="1"/>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nsid w:val="00000028"/>
    <w:multiLevelType w:val="hybridMultilevel"/>
    <w:tmpl w:val="D68C696C"/>
    <w:lvl w:ilvl="0" w:tplc="04090015">
      <w:start w:val="1"/>
      <w:numFmt w:val="upperLetter"/>
      <w:lvlText w:val="%1."/>
      <w:lvlJc w:val="left"/>
      <w:pPr>
        <w:ind w:left="1170" w:hanging="360"/>
      </w:pPr>
    </w:lvl>
    <w:lvl w:ilvl="1" w:tplc="04090015">
      <w:start w:val="1"/>
      <w:numFmt w:val="upperLetter"/>
      <w:lvlText w:val="%2."/>
      <w:lvlJc w:val="left"/>
      <w:pPr>
        <w:ind w:left="117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nsid w:val="00000029"/>
    <w:multiLevelType w:val="hybridMultilevel"/>
    <w:tmpl w:val="6C6E2E4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0000002A"/>
    <w:multiLevelType w:val="hybridMultilevel"/>
    <w:tmpl w:val="497A5E5E"/>
    <w:lvl w:ilvl="0" w:tplc="0409000F">
      <w:start w:val="1"/>
      <w:numFmt w:val="decimal"/>
      <w:lvlText w:val="%1."/>
      <w:lvlJc w:val="left"/>
      <w:pPr>
        <w:ind w:left="720" w:hanging="360"/>
      </w:pPr>
    </w:lvl>
    <w:lvl w:ilvl="1" w:tplc="A5B0FB94">
      <w:start w:val="1"/>
      <w:numFmt w:val="upperLetter"/>
      <w:lvlText w:val="%2."/>
      <w:lvlJc w:val="left"/>
      <w:pPr>
        <w:ind w:left="1440" w:hanging="360"/>
      </w:pPr>
      <w:rPr>
        <w:rFonts w:eastAsia="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0000002B"/>
    <w:multiLevelType w:val="hybridMultilevel"/>
    <w:tmpl w:val="A5461446"/>
    <w:lvl w:ilvl="0" w:tplc="04090015">
      <w:start w:val="1"/>
      <w:numFmt w:val="upp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4">
    <w:nsid w:val="0000002C"/>
    <w:multiLevelType w:val="hybridMultilevel"/>
    <w:tmpl w:val="5030A33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0000002D"/>
    <w:multiLevelType w:val="hybridMultilevel"/>
    <w:tmpl w:val="83D26EA2"/>
    <w:lvl w:ilvl="0" w:tplc="04090015">
      <w:start w:val="1"/>
      <w:numFmt w:val="upperLetter"/>
      <w:lvlText w:val="%1."/>
      <w:lvlJc w:val="left"/>
      <w:pPr>
        <w:ind w:left="885" w:hanging="360"/>
      </w:p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46">
    <w:nsid w:val="0000002E"/>
    <w:multiLevelType w:val="hybridMultilevel"/>
    <w:tmpl w:val="0896C1DA"/>
    <w:lvl w:ilvl="0" w:tplc="04090015">
      <w:start w:val="1"/>
      <w:numFmt w:val="upperLetter"/>
      <w:lvlText w:val="%1."/>
      <w:lvlJc w:val="left"/>
      <w:pPr>
        <w:ind w:left="945" w:hanging="360"/>
      </w:pPr>
    </w:lvl>
    <w:lvl w:ilvl="1" w:tplc="04090019" w:tentative="1">
      <w:start w:val="1"/>
      <w:numFmt w:val="lowerLetter"/>
      <w:lvlText w:val="%2."/>
      <w:lvlJc w:val="left"/>
      <w:pPr>
        <w:ind w:left="1665" w:hanging="360"/>
      </w:pPr>
    </w:lvl>
    <w:lvl w:ilvl="2" w:tplc="0409001B" w:tentative="1">
      <w:start w:val="1"/>
      <w:numFmt w:val="lowerRoman"/>
      <w:lvlText w:val="%3."/>
      <w:lvlJc w:val="right"/>
      <w:pPr>
        <w:ind w:left="2385" w:hanging="180"/>
      </w:pPr>
    </w:lvl>
    <w:lvl w:ilvl="3" w:tplc="0409000F" w:tentative="1">
      <w:start w:val="1"/>
      <w:numFmt w:val="decimal"/>
      <w:lvlText w:val="%4."/>
      <w:lvlJc w:val="left"/>
      <w:pPr>
        <w:ind w:left="3105" w:hanging="360"/>
      </w:pPr>
    </w:lvl>
    <w:lvl w:ilvl="4" w:tplc="04090019" w:tentative="1">
      <w:start w:val="1"/>
      <w:numFmt w:val="lowerLetter"/>
      <w:lvlText w:val="%5."/>
      <w:lvlJc w:val="left"/>
      <w:pPr>
        <w:ind w:left="3825" w:hanging="360"/>
      </w:pPr>
    </w:lvl>
    <w:lvl w:ilvl="5" w:tplc="0409001B" w:tentative="1">
      <w:start w:val="1"/>
      <w:numFmt w:val="lowerRoman"/>
      <w:lvlText w:val="%6."/>
      <w:lvlJc w:val="right"/>
      <w:pPr>
        <w:ind w:left="4545" w:hanging="180"/>
      </w:pPr>
    </w:lvl>
    <w:lvl w:ilvl="6" w:tplc="0409000F" w:tentative="1">
      <w:start w:val="1"/>
      <w:numFmt w:val="decimal"/>
      <w:lvlText w:val="%7."/>
      <w:lvlJc w:val="left"/>
      <w:pPr>
        <w:ind w:left="5265" w:hanging="360"/>
      </w:pPr>
    </w:lvl>
    <w:lvl w:ilvl="7" w:tplc="04090019" w:tentative="1">
      <w:start w:val="1"/>
      <w:numFmt w:val="lowerLetter"/>
      <w:lvlText w:val="%8."/>
      <w:lvlJc w:val="left"/>
      <w:pPr>
        <w:ind w:left="5985" w:hanging="360"/>
      </w:pPr>
    </w:lvl>
    <w:lvl w:ilvl="8" w:tplc="0409001B" w:tentative="1">
      <w:start w:val="1"/>
      <w:numFmt w:val="lowerRoman"/>
      <w:lvlText w:val="%9."/>
      <w:lvlJc w:val="right"/>
      <w:pPr>
        <w:ind w:left="6705" w:hanging="180"/>
      </w:pPr>
    </w:lvl>
  </w:abstractNum>
  <w:abstractNum w:abstractNumId="47">
    <w:nsid w:val="0000002F"/>
    <w:multiLevelType w:val="hybridMultilevel"/>
    <w:tmpl w:val="65EA1BB2"/>
    <w:lvl w:ilvl="0" w:tplc="04090015">
      <w:start w:val="1"/>
      <w:numFmt w:val="upperLetter"/>
      <w:lvlText w:val="%1."/>
      <w:lvlJc w:val="left"/>
      <w:pPr>
        <w:ind w:left="825"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48">
    <w:nsid w:val="00000030"/>
    <w:multiLevelType w:val="hybridMultilevel"/>
    <w:tmpl w:val="C4E6421E"/>
    <w:lvl w:ilvl="0" w:tplc="04090015">
      <w:start w:val="1"/>
      <w:numFmt w:val="upperLetter"/>
      <w:lvlText w:val="%1."/>
      <w:lvlJc w:val="left"/>
      <w:pPr>
        <w:ind w:left="885" w:hanging="360"/>
      </w:p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49">
    <w:nsid w:val="00000031"/>
    <w:multiLevelType w:val="hybridMultilevel"/>
    <w:tmpl w:val="21284FF8"/>
    <w:lvl w:ilvl="0" w:tplc="04090015">
      <w:start w:val="1"/>
      <w:numFmt w:val="upperLetter"/>
      <w:lvlText w:val="%1."/>
      <w:lvlJc w:val="left"/>
      <w:pPr>
        <w:ind w:left="1110" w:hanging="360"/>
      </w:p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50">
    <w:nsid w:val="00000032"/>
    <w:multiLevelType w:val="hybridMultilevel"/>
    <w:tmpl w:val="6D6E7AA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00000033"/>
    <w:multiLevelType w:val="hybridMultilevel"/>
    <w:tmpl w:val="A5C4CAF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00000034"/>
    <w:multiLevelType w:val="hybridMultilevel"/>
    <w:tmpl w:val="A15E409C"/>
    <w:lvl w:ilvl="0" w:tplc="885A53E6">
      <w:start w:val="1"/>
      <w:numFmt w:val="upperLetter"/>
      <w:lvlText w:val="%1."/>
      <w:lvlJc w:val="left"/>
      <w:pPr>
        <w:ind w:left="1080" w:hanging="360"/>
      </w:pPr>
      <w:rPr>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nsid w:val="00000035"/>
    <w:multiLevelType w:val="hybridMultilevel"/>
    <w:tmpl w:val="A7284F0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00000036"/>
    <w:multiLevelType w:val="hybridMultilevel"/>
    <w:tmpl w:val="C516635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00000037"/>
    <w:multiLevelType w:val="hybridMultilevel"/>
    <w:tmpl w:val="E918BCE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00000038"/>
    <w:multiLevelType w:val="hybridMultilevel"/>
    <w:tmpl w:val="DA929ED2"/>
    <w:lvl w:ilvl="0" w:tplc="04090015">
      <w:start w:val="1"/>
      <w:numFmt w:val="upperLetter"/>
      <w:lvlText w:val="%1."/>
      <w:lvlJc w:val="left"/>
      <w:pPr>
        <w:ind w:left="1080" w:hanging="360"/>
      </w:pPr>
    </w:lvl>
    <w:lvl w:ilvl="1" w:tplc="04090019" w:tentative="1">
      <w:start w:val="1"/>
      <w:numFmt w:val="lowerLetter"/>
      <w:lvlText w:val="%2."/>
      <w:lvlJc w:val="left"/>
      <w:pPr>
        <w:ind w:left="2025" w:hanging="360"/>
      </w:pPr>
    </w:lvl>
    <w:lvl w:ilvl="2" w:tplc="0409001B" w:tentative="1">
      <w:start w:val="1"/>
      <w:numFmt w:val="lowerRoman"/>
      <w:lvlText w:val="%3."/>
      <w:lvlJc w:val="right"/>
      <w:pPr>
        <w:ind w:left="2745" w:hanging="180"/>
      </w:pPr>
    </w:lvl>
    <w:lvl w:ilvl="3" w:tplc="0409000F" w:tentative="1">
      <w:start w:val="1"/>
      <w:numFmt w:val="decimal"/>
      <w:lvlText w:val="%4."/>
      <w:lvlJc w:val="left"/>
      <w:pPr>
        <w:ind w:left="3465" w:hanging="360"/>
      </w:pPr>
    </w:lvl>
    <w:lvl w:ilvl="4" w:tplc="04090019" w:tentative="1">
      <w:start w:val="1"/>
      <w:numFmt w:val="lowerLetter"/>
      <w:lvlText w:val="%5."/>
      <w:lvlJc w:val="left"/>
      <w:pPr>
        <w:ind w:left="4185" w:hanging="360"/>
      </w:pPr>
    </w:lvl>
    <w:lvl w:ilvl="5" w:tplc="0409001B" w:tentative="1">
      <w:start w:val="1"/>
      <w:numFmt w:val="lowerRoman"/>
      <w:lvlText w:val="%6."/>
      <w:lvlJc w:val="right"/>
      <w:pPr>
        <w:ind w:left="4905" w:hanging="180"/>
      </w:pPr>
    </w:lvl>
    <w:lvl w:ilvl="6" w:tplc="0409000F" w:tentative="1">
      <w:start w:val="1"/>
      <w:numFmt w:val="decimal"/>
      <w:lvlText w:val="%7."/>
      <w:lvlJc w:val="left"/>
      <w:pPr>
        <w:ind w:left="5625" w:hanging="360"/>
      </w:pPr>
    </w:lvl>
    <w:lvl w:ilvl="7" w:tplc="04090019" w:tentative="1">
      <w:start w:val="1"/>
      <w:numFmt w:val="lowerLetter"/>
      <w:lvlText w:val="%8."/>
      <w:lvlJc w:val="left"/>
      <w:pPr>
        <w:ind w:left="6345" w:hanging="360"/>
      </w:pPr>
    </w:lvl>
    <w:lvl w:ilvl="8" w:tplc="0409001B" w:tentative="1">
      <w:start w:val="1"/>
      <w:numFmt w:val="lowerRoman"/>
      <w:lvlText w:val="%9."/>
      <w:lvlJc w:val="right"/>
      <w:pPr>
        <w:ind w:left="7065" w:hanging="180"/>
      </w:pPr>
    </w:lvl>
  </w:abstractNum>
  <w:abstractNum w:abstractNumId="57">
    <w:nsid w:val="00000039"/>
    <w:multiLevelType w:val="hybridMultilevel"/>
    <w:tmpl w:val="051A158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0000003A"/>
    <w:multiLevelType w:val="hybridMultilevel"/>
    <w:tmpl w:val="852C8F12"/>
    <w:lvl w:ilvl="0" w:tplc="885A53E6">
      <w:start w:val="1"/>
      <w:numFmt w:val="upperLetter"/>
      <w:lvlText w:val="%1."/>
      <w:lvlJc w:val="left"/>
      <w:pPr>
        <w:ind w:left="720" w:hanging="360"/>
      </w:pPr>
      <w:rPr>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0000003B"/>
    <w:multiLevelType w:val="hybridMultilevel"/>
    <w:tmpl w:val="AD24C29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0000003C"/>
    <w:multiLevelType w:val="hybridMultilevel"/>
    <w:tmpl w:val="162867FA"/>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nsid w:val="0000003D"/>
    <w:multiLevelType w:val="multilevel"/>
    <w:tmpl w:val="70D03648"/>
    <w:lvl w:ilvl="0">
      <w:start w:val="1"/>
      <w:numFmt w:val="bullet"/>
      <w:lvlText w:val=""/>
      <w:lvlJc w:val="left"/>
      <w:pPr>
        <w:tabs>
          <w:tab w:val="left" w:leader="none" w:pos="720"/>
        </w:tabs>
        <w:ind w:left="720" w:hanging="360"/>
      </w:pPr>
      <w:rPr>
        <w:rFonts w:ascii="Symbol" w:hAnsi="Symbol" w:hint="default"/>
        <w:sz w:val="20"/>
      </w:rPr>
    </w:lvl>
    <w:lvl w:ilvl="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62">
    <w:nsid w:val="0000003E"/>
    <w:multiLevelType w:val="multilevel"/>
    <w:tmpl w:val="04268D26"/>
    <w:lvl w:ilvl="0">
      <w:start w:val="1"/>
      <w:numFmt w:val="bullet"/>
      <w:lvlText w:val=""/>
      <w:lvlJc w:val="left"/>
      <w:pPr>
        <w:tabs>
          <w:tab w:val="left" w:leader="none" w:pos="720"/>
        </w:tabs>
        <w:ind w:left="720" w:hanging="360"/>
      </w:pPr>
      <w:rPr>
        <w:rFonts w:ascii="Symbol" w:hAnsi="Symbol" w:hint="default"/>
        <w:sz w:val="20"/>
      </w:rPr>
    </w:lvl>
    <w:lvl w:ilvl="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63">
    <w:nsid w:val="0000003F"/>
    <w:multiLevelType w:val="multilevel"/>
    <w:tmpl w:val="5B901A14"/>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64">
    <w:nsid w:val="00000040"/>
    <w:multiLevelType w:val="multilevel"/>
    <w:tmpl w:val="1B026E3A"/>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65">
    <w:nsid w:val="00000041"/>
    <w:multiLevelType w:val="hybridMultilevel"/>
    <w:tmpl w:val="3642ED86"/>
    <w:lvl w:ilvl="0" w:tplc="04090003">
      <w:start w:val="1"/>
      <w:numFmt w:val="lowerLetter"/>
      <w:lvlText w:val="%1)"/>
      <w:lvlJc w:val="lef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66">
    <w:nsid w:val="00000042"/>
    <w:multiLevelType w:val="multilevel"/>
    <w:tmpl w:val="F7BECE0A"/>
    <w:lvl w:ilvl="0">
      <w:start w:val="1"/>
      <w:numFmt w:val="bullet"/>
      <w:lvlText w:val=""/>
      <w:lvlJc w:val="left"/>
      <w:pPr>
        <w:tabs>
          <w:tab w:val="left" w:leader="none" w:pos="720"/>
        </w:tabs>
        <w:ind w:left="720" w:hanging="360"/>
      </w:pPr>
      <w:rPr>
        <w:rFonts w:ascii="Symbol" w:hAnsi="Symbol" w:hint="default"/>
        <w:sz w:val="20"/>
      </w:rPr>
    </w:lvl>
    <w:lvl w:ilvl="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67">
    <w:nsid w:val="00000043"/>
    <w:multiLevelType w:val="multilevel"/>
    <w:tmpl w:val="9C66A4E0"/>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68">
    <w:nsid w:val="00000044"/>
    <w:multiLevelType w:val="multilevel"/>
    <w:tmpl w:val="B5B8EC46"/>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69">
    <w:nsid w:val="00000045"/>
    <w:multiLevelType w:val="hybridMultilevel"/>
    <w:tmpl w:val="9F82BB64"/>
    <w:lvl w:ilvl="0" w:tplc="599ABEC4">
      <w:start w:val="1"/>
      <w:numFmt w:val="bullet"/>
      <w:lvlText w:val=""/>
      <w:lvlJc w:val="left"/>
      <w:pPr>
        <w:ind w:left="720" w:hanging="360"/>
      </w:pPr>
      <w:rPr>
        <w:rFonts w:ascii="Wingdings" w:hAnsi="Wingdings" w:hint="default"/>
      </w:rPr>
    </w:lvl>
    <w:lvl w:ilvl="1" w:tplc="1BBA0AAE" w:tentative="1">
      <w:start w:val="1"/>
      <w:numFmt w:val="lowerLetter"/>
      <w:lvlText w:val="%2."/>
      <w:lvlJc w:val="left"/>
      <w:pPr>
        <w:ind w:left="1440" w:hanging="360"/>
      </w:pPr>
    </w:lvl>
    <w:lvl w:ilvl="2" w:tplc="144AD218" w:tentative="1">
      <w:start w:val="1"/>
      <w:numFmt w:val="lowerRoman"/>
      <w:lvlText w:val="%3."/>
      <w:lvlJc w:val="right"/>
      <w:pPr>
        <w:ind w:left="2160" w:hanging="180"/>
      </w:pPr>
    </w:lvl>
    <w:lvl w:ilvl="3" w:tplc="8FEE3C28" w:tentative="1">
      <w:start w:val="1"/>
      <w:numFmt w:val="decimal"/>
      <w:lvlText w:val="%4."/>
      <w:lvlJc w:val="left"/>
      <w:pPr>
        <w:ind w:left="2880" w:hanging="360"/>
      </w:pPr>
    </w:lvl>
    <w:lvl w:ilvl="4" w:tplc="390CD1CE" w:tentative="1">
      <w:start w:val="1"/>
      <w:numFmt w:val="lowerLetter"/>
      <w:lvlText w:val="%5."/>
      <w:lvlJc w:val="left"/>
      <w:pPr>
        <w:ind w:left="3600" w:hanging="360"/>
      </w:pPr>
    </w:lvl>
    <w:lvl w:ilvl="5" w:tplc="6A1E641C" w:tentative="1">
      <w:start w:val="1"/>
      <w:numFmt w:val="lowerRoman"/>
      <w:lvlText w:val="%6."/>
      <w:lvlJc w:val="right"/>
      <w:pPr>
        <w:ind w:left="4320" w:hanging="180"/>
      </w:pPr>
    </w:lvl>
    <w:lvl w:ilvl="6" w:tplc="053294A4" w:tentative="1">
      <w:start w:val="1"/>
      <w:numFmt w:val="decimal"/>
      <w:lvlText w:val="%7."/>
      <w:lvlJc w:val="left"/>
      <w:pPr>
        <w:ind w:left="5040" w:hanging="360"/>
      </w:pPr>
    </w:lvl>
    <w:lvl w:ilvl="7" w:tplc="E044565A" w:tentative="1">
      <w:start w:val="1"/>
      <w:numFmt w:val="lowerLetter"/>
      <w:lvlText w:val="%8."/>
      <w:lvlJc w:val="left"/>
      <w:pPr>
        <w:ind w:left="5760" w:hanging="360"/>
      </w:pPr>
    </w:lvl>
    <w:lvl w:ilvl="8" w:tplc="3BC0A38C" w:tentative="1">
      <w:start w:val="1"/>
      <w:numFmt w:val="lowerRoman"/>
      <w:lvlText w:val="%9."/>
      <w:lvlJc w:val="right"/>
      <w:pPr>
        <w:ind w:left="6480" w:hanging="180"/>
      </w:pPr>
    </w:lvl>
  </w:abstractNum>
  <w:abstractNum w:abstractNumId="70">
    <w:nsid w:val="00000046"/>
    <w:multiLevelType w:val="multilevel"/>
    <w:tmpl w:val="56D82864"/>
    <w:lvl w:ilvl="0">
      <w:start w:val="1"/>
      <w:numFmt w:val="decimal"/>
      <w:lvlText w:val="%1."/>
      <w:lvlJc w:val="left"/>
      <w:pPr>
        <w:tabs>
          <w:tab w:val="left" w:leader="none" w:pos="720"/>
        </w:tabs>
        <w:ind w:left="720" w:hanging="360"/>
      </w:pPr>
    </w:lvl>
    <w:lvl w:ilvl="1" w:tentative="1">
      <w:start w:val="1"/>
      <w:numFmt w:val="decimal"/>
      <w:lvlText w:val="%2."/>
      <w:lvlJc w:val="left"/>
      <w:pPr>
        <w:tabs>
          <w:tab w:val="left" w:leader="none" w:pos="1440"/>
        </w:tabs>
        <w:ind w:left="1440" w:hanging="360"/>
      </w:pPr>
    </w:lvl>
    <w:lvl w:ilvl="2" w:tentative="1">
      <w:start w:val="1"/>
      <w:numFmt w:val="decimal"/>
      <w:lvlText w:val="%3."/>
      <w:lvlJc w:val="left"/>
      <w:pPr>
        <w:tabs>
          <w:tab w:val="left" w:leader="none" w:pos="2160"/>
        </w:tabs>
        <w:ind w:left="2160" w:hanging="360"/>
      </w:pPr>
    </w:lvl>
    <w:lvl w:ilvl="3" w:tentative="1">
      <w:start w:val="1"/>
      <w:numFmt w:val="decimal"/>
      <w:lvlText w:val="%4."/>
      <w:lvlJc w:val="left"/>
      <w:pPr>
        <w:tabs>
          <w:tab w:val="left" w:leader="none" w:pos="2880"/>
        </w:tabs>
        <w:ind w:left="2880" w:hanging="360"/>
      </w:pPr>
    </w:lvl>
    <w:lvl w:ilvl="4" w:tentative="1">
      <w:start w:val="1"/>
      <w:numFmt w:val="decimal"/>
      <w:lvlText w:val="%5."/>
      <w:lvlJc w:val="left"/>
      <w:pPr>
        <w:tabs>
          <w:tab w:val="left" w:leader="none" w:pos="3600"/>
        </w:tabs>
        <w:ind w:left="3600" w:hanging="360"/>
      </w:pPr>
    </w:lvl>
    <w:lvl w:ilvl="5" w:tentative="1">
      <w:start w:val="1"/>
      <w:numFmt w:val="decimal"/>
      <w:lvlText w:val="%6."/>
      <w:lvlJc w:val="left"/>
      <w:pPr>
        <w:tabs>
          <w:tab w:val="left" w:leader="none" w:pos="4320"/>
        </w:tabs>
        <w:ind w:left="4320" w:hanging="360"/>
      </w:pPr>
    </w:lvl>
    <w:lvl w:ilvl="6" w:tentative="1">
      <w:start w:val="1"/>
      <w:numFmt w:val="decimal"/>
      <w:lvlText w:val="%7."/>
      <w:lvlJc w:val="left"/>
      <w:pPr>
        <w:tabs>
          <w:tab w:val="left" w:leader="none" w:pos="5040"/>
        </w:tabs>
        <w:ind w:left="5040" w:hanging="360"/>
      </w:pPr>
    </w:lvl>
    <w:lvl w:ilvl="7" w:tentative="1">
      <w:start w:val="1"/>
      <w:numFmt w:val="decimal"/>
      <w:lvlText w:val="%8."/>
      <w:lvlJc w:val="left"/>
      <w:pPr>
        <w:tabs>
          <w:tab w:val="left" w:leader="none" w:pos="5760"/>
        </w:tabs>
        <w:ind w:left="5760" w:hanging="360"/>
      </w:pPr>
    </w:lvl>
    <w:lvl w:ilvl="8" w:tentative="1">
      <w:start w:val="1"/>
      <w:numFmt w:val="decimal"/>
      <w:lvlText w:val="%9."/>
      <w:lvlJc w:val="left"/>
      <w:pPr>
        <w:tabs>
          <w:tab w:val="left" w:leader="none" w:pos="6480"/>
        </w:tabs>
        <w:ind w:left="6480" w:hanging="360"/>
      </w:pPr>
    </w:lvl>
  </w:abstractNum>
  <w:abstractNum w:abstractNumId="71">
    <w:nsid w:val="00000047"/>
    <w:multiLevelType w:val="multilevel"/>
    <w:tmpl w:val="B5FCFC38"/>
    <w:lvl w:ilvl="0">
      <w:start w:val="1"/>
      <w:numFmt w:val="bullet"/>
      <w:lvlText w:val=""/>
      <w:lvlJc w:val="left"/>
      <w:pPr>
        <w:tabs>
          <w:tab w:val="left" w:leader="none" w:pos="720"/>
        </w:tabs>
        <w:ind w:left="720" w:hanging="360"/>
      </w:pPr>
      <w:rPr>
        <w:rFonts w:ascii="Symbol" w:hAnsi="Symbol" w:hint="default"/>
        <w:sz w:val="20"/>
      </w:rPr>
    </w:lvl>
    <w:lvl w:ilvl="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72">
    <w:nsid w:val="00000048"/>
    <w:multiLevelType w:val="multilevel"/>
    <w:tmpl w:val="72C8BF86"/>
    <w:lvl w:ilvl="0">
      <w:start w:val="1"/>
      <w:numFmt w:val="bullet"/>
      <w:lvlText w:val=""/>
      <w:lvlJc w:val="left"/>
      <w:pPr>
        <w:tabs>
          <w:tab w:val="left" w:leader="none" w:pos="720"/>
        </w:tabs>
        <w:ind w:left="720" w:hanging="360"/>
      </w:pPr>
      <w:rPr>
        <w:rFonts w:ascii="Symbol" w:hAnsi="Symbol" w:hint="default"/>
        <w:sz w:val="20"/>
      </w:rPr>
    </w:lvl>
    <w:lvl w:ilvl="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73">
    <w:nsid w:val="00000049"/>
    <w:multiLevelType w:val="multilevel"/>
    <w:tmpl w:val="532A388C"/>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cs="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cs="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cs="Courier New" w:hAnsi="Courier New" w:hint="default"/>
      </w:rPr>
    </w:lvl>
    <w:lvl w:ilvl="8">
      <w:start w:val="1"/>
      <w:numFmt w:val="bullet"/>
      <w:lvlText w:val=""/>
      <w:lvlJc w:val="left"/>
      <w:pPr>
        <w:ind w:left="6480" w:hanging="360"/>
      </w:pPr>
      <w:rPr>
        <w:rFonts w:ascii="Wingdings" w:hAnsi="Wingdings" w:hint="default"/>
      </w:rPr>
    </w:lvl>
  </w:abstractNum>
  <w:abstractNum w:abstractNumId="74">
    <w:nsid w:val="0000004A"/>
    <w:multiLevelType w:val="multilevel"/>
    <w:tmpl w:val="1B445B16"/>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75">
    <w:nsid w:val="0000004B"/>
    <w:multiLevelType w:val="multilevel"/>
    <w:tmpl w:val="6D361D16"/>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76">
    <w:nsid w:val="0000004C"/>
    <w:multiLevelType w:val="multilevel"/>
    <w:tmpl w:val="E1CCFEF2"/>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77">
    <w:nsid w:val="0000004D"/>
    <w:multiLevelType w:val="hybridMultilevel"/>
    <w:tmpl w:val="4FE8DF06"/>
    <w:lvl w:ilvl="0" w:tplc="61D6E74C">
      <w:start w:val="1"/>
      <w:numFmt w:val="upperLetter"/>
      <w:lvlText w:val="%1."/>
      <w:lvlJc w:val="left"/>
      <w:pPr>
        <w:ind w:left="720" w:hanging="360"/>
      </w:pPr>
    </w:lvl>
    <w:lvl w:ilvl="1" w:tplc="E2708324" w:tentative="1">
      <w:start w:val="1"/>
      <w:numFmt w:val="lowerLetter"/>
      <w:lvlText w:val="%2."/>
      <w:lvlJc w:val="left"/>
      <w:pPr>
        <w:ind w:left="1440" w:hanging="360"/>
      </w:pPr>
    </w:lvl>
    <w:lvl w:ilvl="2" w:tplc="A1C828AC" w:tentative="1">
      <w:start w:val="1"/>
      <w:numFmt w:val="lowerRoman"/>
      <w:lvlText w:val="%3."/>
      <w:lvlJc w:val="right"/>
      <w:pPr>
        <w:ind w:left="2160" w:hanging="180"/>
      </w:pPr>
    </w:lvl>
    <w:lvl w:ilvl="3" w:tplc="CE345502" w:tentative="1">
      <w:start w:val="1"/>
      <w:numFmt w:val="decimal"/>
      <w:lvlText w:val="%4."/>
      <w:lvlJc w:val="left"/>
      <w:pPr>
        <w:ind w:left="2880" w:hanging="360"/>
      </w:pPr>
    </w:lvl>
    <w:lvl w:ilvl="4" w:tplc="8834AB5A" w:tentative="1">
      <w:start w:val="1"/>
      <w:numFmt w:val="lowerLetter"/>
      <w:lvlText w:val="%5."/>
      <w:lvlJc w:val="left"/>
      <w:pPr>
        <w:ind w:left="3600" w:hanging="360"/>
      </w:pPr>
    </w:lvl>
    <w:lvl w:ilvl="5" w:tplc="3C1C6D32" w:tentative="1">
      <w:start w:val="1"/>
      <w:numFmt w:val="lowerRoman"/>
      <w:lvlText w:val="%6."/>
      <w:lvlJc w:val="right"/>
      <w:pPr>
        <w:ind w:left="4320" w:hanging="180"/>
      </w:pPr>
    </w:lvl>
    <w:lvl w:ilvl="6" w:tplc="AC3E361E" w:tentative="1">
      <w:start w:val="1"/>
      <w:numFmt w:val="decimal"/>
      <w:lvlText w:val="%7."/>
      <w:lvlJc w:val="left"/>
      <w:pPr>
        <w:ind w:left="5040" w:hanging="360"/>
      </w:pPr>
    </w:lvl>
    <w:lvl w:ilvl="7" w:tplc="7142708A" w:tentative="1">
      <w:start w:val="1"/>
      <w:numFmt w:val="lowerLetter"/>
      <w:lvlText w:val="%8."/>
      <w:lvlJc w:val="left"/>
      <w:pPr>
        <w:ind w:left="5760" w:hanging="360"/>
      </w:pPr>
    </w:lvl>
    <w:lvl w:ilvl="8" w:tplc="DB9A66D8" w:tentative="1">
      <w:start w:val="1"/>
      <w:numFmt w:val="lowerRoman"/>
      <w:lvlText w:val="%9."/>
      <w:lvlJc w:val="right"/>
      <w:pPr>
        <w:ind w:left="6480" w:hanging="180"/>
      </w:pPr>
    </w:lvl>
  </w:abstractNum>
  <w:abstractNum w:abstractNumId="78">
    <w:nsid w:val="0000004E"/>
    <w:multiLevelType w:val="multilevel"/>
    <w:tmpl w:val="E9AE5D9A"/>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79">
    <w:nsid w:val="0000004F"/>
    <w:multiLevelType w:val="multilevel"/>
    <w:tmpl w:val="6AEEC110"/>
    <w:lvl w:ilvl="0">
      <w:start w:val="1"/>
      <w:numFmt w:val="bullet"/>
      <w:lvlText w:val=""/>
      <w:lvlJc w:val="left"/>
      <w:pPr>
        <w:tabs>
          <w:tab w:val="left" w:leader="none" w:pos="720"/>
        </w:tabs>
        <w:ind w:left="720" w:hanging="360"/>
      </w:pPr>
      <w:rPr>
        <w:rFonts w:ascii="Symbol" w:hAnsi="Symbol" w:hint="default"/>
        <w:sz w:val="20"/>
      </w:rPr>
    </w:lvl>
    <w:lvl w:ilvl="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80">
    <w:nsid w:val="00000050"/>
    <w:multiLevelType w:val="multilevel"/>
    <w:tmpl w:val="3676CFBA"/>
    <w:lvl w:ilvl="0">
      <w:start w:val="1"/>
      <w:numFmt w:val="bullet"/>
      <w:lvlText w:val=""/>
      <w:lvlJc w:val="left"/>
      <w:pPr>
        <w:tabs>
          <w:tab w:val="left" w:leader="none" w:pos="720"/>
        </w:tabs>
        <w:ind w:left="720" w:hanging="360"/>
      </w:pPr>
      <w:rPr>
        <w:rFonts w:ascii="Symbol" w:hAnsi="Symbol" w:hint="default"/>
        <w:sz w:val="20"/>
      </w:rPr>
    </w:lvl>
    <w:lvl w:ilvl="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num w:numId="1">
    <w:abstractNumId w:val="69"/>
  </w:num>
  <w:num w:numId="2">
    <w:abstractNumId w:val="77"/>
  </w:num>
  <w:num w:numId="3">
    <w:abstractNumId w:val="65"/>
  </w:num>
  <w:num w:numId="4">
    <w:abstractNumId w:val="11"/>
  </w:num>
  <w:num w:numId="5">
    <w:abstractNumId w:val="24"/>
  </w:num>
  <w:num w:numId="6">
    <w:abstractNumId w:val="4"/>
  </w:num>
  <w:num w:numId="7">
    <w:abstractNumId w:val="21"/>
  </w:num>
  <w:num w:numId="8">
    <w:abstractNumId w:val="9"/>
  </w:num>
  <w:num w:numId="9">
    <w:abstractNumId w:val="8"/>
  </w:num>
  <w:num w:numId="10">
    <w:abstractNumId w:val="15"/>
  </w:num>
  <w:num w:numId="11">
    <w:abstractNumId w:val="14"/>
  </w:num>
  <w:num w:numId="12">
    <w:abstractNumId w:val="13"/>
  </w:num>
  <w:num w:numId="13">
    <w:abstractNumId w:val="7"/>
  </w:num>
  <w:num w:numId="14">
    <w:abstractNumId w:val="25"/>
  </w:num>
  <w:num w:numId="15">
    <w:abstractNumId w:val="5"/>
  </w:num>
  <w:num w:numId="16">
    <w:abstractNumId w:val="3"/>
  </w:num>
  <w:num w:numId="17">
    <w:abstractNumId w:val="22"/>
  </w:num>
  <w:num w:numId="18">
    <w:abstractNumId w:val="16"/>
  </w:num>
  <w:num w:numId="19">
    <w:abstractNumId w:val="6"/>
  </w:num>
  <w:num w:numId="20">
    <w:abstractNumId w:val="0"/>
  </w:num>
  <w:num w:numId="21">
    <w:abstractNumId w:val="20"/>
  </w:num>
  <w:num w:numId="22">
    <w:abstractNumId w:val="12"/>
  </w:num>
  <w:num w:numId="23">
    <w:abstractNumId w:val="2"/>
  </w:num>
  <w:num w:numId="24">
    <w:abstractNumId w:val="26"/>
  </w:num>
  <w:num w:numId="25">
    <w:abstractNumId w:val="19"/>
  </w:num>
  <w:num w:numId="26">
    <w:abstractNumId w:val="1"/>
  </w:num>
  <w:num w:numId="27">
    <w:abstractNumId w:val="17"/>
  </w:num>
  <w:num w:numId="28">
    <w:abstractNumId w:val="18"/>
  </w:num>
  <w:num w:numId="29">
    <w:abstractNumId w:val="23"/>
  </w:num>
  <w:num w:numId="30">
    <w:abstractNumId w:val="10"/>
  </w:num>
  <w:num w:numId="31">
    <w:abstractNumId w:val="39"/>
  </w:num>
  <w:num w:numId="32">
    <w:abstractNumId w:val="30"/>
  </w:num>
  <w:num w:numId="33">
    <w:abstractNumId w:val="32"/>
  </w:num>
  <w:num w:numId="34">
    <w:abstractNumId w:val="42"/>
  </w:num>
  <w:num w:numId="35">
    <w:abstractNumId w:val="56"/>
  </w:num>
  <w:num w:numId="36">
    <w:abstractNumId w:val="58"/>
  </w:num>
  <w:num w:numId="37">
    <w:abstractNumId w:val="38"/>
  </w:num>
  <w:num w:numId="38">
    <w:abstractNumId w:val="52"/>
  </w:num>
  <w:num w:numId="39">
    <w:abstractNumId w:val="36"/>
  </w:num>
  <w:num w:numId="40">
    <w:abstractNumId w:val="50"/>
  </w:num>
  <w:num w:numId="41">
    <w:abstractNumId w:val="60"/>
  </w:num>
  <w:num w:numId="42">
    <w:abstractNumId w:val="40"/>
  </w:num>
  <w:num w:numId="43">
    <w:abstractNumId w:val="44"/>
  </w:num>
  <w:num w:numId="44">
    <w:abstractNumId w:val="31"/>
  </w:num>
  <w:num w:numId="45">
    <w:abstractNumId w:val="48"/>
  </w:num>
  <w:num w:numId="46">
    <w:abstractNumId w:val="47"/>
  </w:num>
  <w:num w:numId="47">
    <w:abstractNumId w:val="29"/>
  </w:num>
  <w:num w:numId="48">
    <w:abstractNumId w:val="59"/>
  </w:num>
  <w:num w:numId="49">
    <w:abstractNumId w:val="33"/>
  </w:num>
  <w:num w:numId="50">
    <w:abstractNumId w:val="51"/>
  </w:num>
  <w:num w:numId="51">
    <w:abstractNumId w:val="41"/>
  </w:num>
  <w:num w:numId="52">
    <w:abstractNumId w:val="54"/>
  </w:num>
  <w:num w:numId="53">
    <w:abstractNumId w:val="37"/>
  </w:num>
  <w:num w:numId="54">
    <w:abstractNumId w:val="34"/>
  </w:num>
  <w:num w:numId="55">
    <w:abstractNumId w:val="49"/>
  </w:num>
  <w:num w:numId="56">
    <w:abstractNumId w:val="27"/>
  </w:num>
  <w:num w:numId="57">
    <w:abstractNumId w:val="55"/>
  </w:num>
  <w:num w:numId="58">
    <w:abstractNumId w:val="28"/>
  </w:num>
  <w:num w:numId="59">
    <w:abstractNumId w:val="57"/>
  </w:num>
  <w:num w:numId="60">
    <w:abstractNumId w:val="53"/>
  </w:num>
  <w:num w:numId="61">
    <w:abstractNumId w:val="45"/>
  </w:num>
  <w:num w:numId="62">
    <w:abstractNumId w:val="43"/>
  </w:num>
  <w:num w:numId="63">
    <w:abstractNumId w:val="46"/>
  </w:num>
  <w:num w:numId="64">
    <w:abstractNumId w:val="35"/>
  </w:num>
  <w:num w:numId="65">
    <w:abstractNumId w:val="68"/>
  </w:num>
  <w:num w:numId="66">
    <w:abstractNumId w:val="76"/>
  </w:num>
  <w:num w:numId="67">
    <w:abstractNumId w:val="67"/>
  </w:num>
  <w:num w:numId="68">
    <w:abstractNumId w:val="74"/>
  </w:num>
  <w:num w:numId="69">
    <w:abstractNumId w:val="75"/>
  </w:num>
  <w:num w:numId="70">
    <w:abstractNumId w:val="64"/>
  </w:num>
  <w:num w:numId="71">
    <w:abstractNumId w:val="63"/>
  </w:num>
  <w:num w:numId="72">
    <w:abstractNumId w:val="78"/>
  </w:num>
  <w:num w:numId="73">
    <w:abstractNumId w:val="73"/>
  </w:num>
  <w:num w:numId="74">
    <w:abstractNumId w:val="70"/>
  </w:num>
  <w:num w:numId="75">
    <w:abstractNumId w:val="66"/>
  </w:num>
  <w:num w:numId="76">
    <w:abstractNumId w:val="79"/>
  </w:num>
  <w:num w:numId="77">
    <w:abstractNumId w:val="61"/>
  </w:num>
  <w:num w:numId="78">
    <w:abstractNumId w:val="80"/>
  </w:num>
  <w:num w:numId="79">
    <w:abstractNumId w:val="71"/>
  </w:num>
  <w:num w:numId="80">
    <w:abstractNumId w:val="72"/>
  </w:num>
  <w:num w:numId="81">
    <w:abstractNumId w:val="62"/>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proofState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ocumentProtection w:enforcement="0"/>
  <w:defaultTabStop w:val="720"/>
  <w:noPunctuationKerning/>
  <w:characterSpacingControl w:val="doNotCompress"/>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bidi="ar-SA"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decimalSymbol w:val="."/>
  <w:listSeparator w:val=","/>
</w:settings>
</file>

<file path=word/styles.xml><?xml version="1.0" encoding="utf-8"?>
<w:styles xmlns:w="http://schemas.openxmlformats.org/wordprocessingml/2006/main">
  <w:docDefaults>
    <w:rPrDefault>
      <w:rPr>
        <w:rFonts w:ascii="Times New Roman" w:cs="Times New Roman" w:eastAsia="SimSun" w:hAnsi="Times New Roman"/>
        <w:lang w:val="en-US" w:bidi="ar-SA" w:eastAsia="en-US"/>
      </w:rPr>
    </w:rPrDefault>
    <w:pPrDefault>
      <w:pPr/>
    </w:pPrDefault>
  </w:docDefaults>
  <w:style w:type="paragraph" w:default="1" w:styleId="style0">
    <w:name w:val="Normal"/>
    <w:next w:val="style0"/>
    <w:qFormat/>
    <w:pPr>
      <w:spacing w:after="200" w:lineRule="auto" w:line="276"/>
    </w:pPr>
    <w:rPr>
      <w:rFonts w:ascii="Calibri" w:cs="Arial" w:eastAsia="Calibri" w:hAnsi="Calibri"/>
      <w:sz w:val="22"/>
      <w:szCs w:val="22"/>
    </w:rPr>
  </w:style>
  <w:style w:type="paragraph" w:styleId="style1">
    <w:name w:val="heading 1"/>
    <w:basedOn w:val="style0"/>
    <w:next w:val="style0"/>
    <w:link w:val="style4101"/>
    <w:qFormat/>
    <w:pPr>
      <w:keepNext/>
      <w:keepLines/>
      <w:spacing w:before="480" w:after="0"/>
      <w:outlineLvl w:val="0"/>
    </w:pPr>
    <w:rPr>
      <w:rFonts w:ascii="Cambria" w:cs="Times New Roman" w:eastAsia="宋体" w:hAnsi="Cambria"/>
      <w:b/>
      <w:bCs/>
      <w:color w:val="365f91"/>
      <w:sz w:val="28"/>
      <w:szCs w:val="28"/>
    </w:rPr>
  </w:style>
  <w:style w:type="paragraph" w:styleId="style2">
    <w:name w:val="heading 2"/>
    <w:basedOn w:val="style0"/>
    <w:next w:val="style2"/>
    <w:link w:val="style4097"/>
    <w:qFormat/>
    <w:pPr>
      <w:spacing w:before="100" w:beforeAutospacing="true" w:after="100" w:afterAutospacing="true" w:lineRule="auto" w:line="240"/>
      <w:outlineLvl w:val="1"/>
    </w:pPr>
    <w:rPr>
      <w:rFonts w:ascii="Times New Roman" w:cs="Times New Roman" w:eastAsia="Times New Roman" w:hAnsi="Times New Roman"/>
      <w:b/>
      <w:bCs/>
      <w:sz w:val="36"/>
      <w:szCs w:val="36"/>
    </w:rPr>
  </w:style>
  <w:style w:type="paragraph" w:styleId="style3">
    <w:name w:val="heading 3"/>
    <w:basedOn w:val="style0"/>
    <w:next w:val="style0"/>
    <w:link w:val="style4100"/>
    <w:qFormat/>
    <w:pPr>
      <w:keepNext/>
      <w:keepLines/>
      <w:spacing w:before="200" w:after="0"/>
      <w:outlineLvl w:val="2"/>
    </w:pPr>
    <w:rPr>
      <w:rFonts w:ascii="Cambria" w:cs="Times New Roman" w:eastAsia="宋体" w:hAnsi="Cambria"/>
      <w:b/>
      <w:bCs/>
      <w:color w:val="4f81bd"/>
    </w:rPr>
  </w:style>
  <w:style w:type="paragraph" w:styleId="style4">
    <w:name w:val="heading 4"/>
    <w:basedOn w:val="style0"/>
    <w:next w:val="style0"/>
    <w:link w:val="style4106"/>
    <w:qFormat/>
    <w:pPr>
      <w:keepNext/>
      <w:keepLines/>
      <w:spacing w:before="200" w:after="0"/>
      <w:outlineLvl w:val="3"/>
    </w:pPr>
    <w:rPr>
      <w:rFonts w:ascii="Cambria" w:cs="Times New Roman" w:eastAsia="宋体" w:hAnsi="Cambria"/>
      <w:b/>
      <w:bCs/>
      <w:i/>
      <w:iCs/>
      <w:color w:val="4f81bd"/>
    </w:rPr>
  </w:style>
  <w:style w:type="paragraph" w:styleId="style5">
    <w:name w:val="heading 5"/>
    <w:basedOn w:val="style0"/>
    <w:next w:val="style0"/>
    <w:link w:val="style4117"/>
    <w:qFormat/>
    <w:pPr>
      <w:keepNext/>
      <w:keepLines/>
      <w:spacing w:before="200" w:after="0"/>
      <w:outlineLvl w:val="4"/>
    </w:pPr>
    <w:rPr>
      <w:rFonts w:ascii="Cambria" w:cs="Times New Roman" w:eastAsia="宋体" w:hAnsi="Cambria"/>
      <w:color w:val="244061"/>
    </w:rPr>
  </w:style>
  <w:style w:type="paragraph" w:styleId="style6">
    <w:name w:val="heading 6"/>
    <w:basedOn w:val="style0"/>
    <w:next w:val="style0"/>
    <w:link w:val="style4119"/>
    <w:pPr>
      <w:keepNext/>
      <w:keepLines/>
      <w:spacing w:before="200" w:after="0" w:lineRule="auto" w:line="240"/>
      <w:ind w:left="1152" w:hanging="1152"/>
      <w:outlineLvl w:val="5"/>
    </w:pPr>
    <w:rPr>
      <w:rFonts w:ascii="Cambria" w:cs="Times New Roman" w:eastAsia="SimSun" w:hAnsi="Cambria"/>
      <w:i/>
      <w:iCs/>
      <w:color w:val="243f60"/>
      <w:sz w:val="20"/>
      <w:szCs w:val="20"/>
    </w:rPr>
  </w:style>
  <w:style w:type="paragraph" w:styleId="style7">
    <w:name w:val="heading 7"/>
    <w:basedOn w:val="style0"/>
    <w:next w:val="style0"/>
    <w:link w:val="style4120"/>
    <w:pPr>
      <w:keepNext/>
      <w:keepLines/>
      <w:spacing w:before="200" w:after="0" w:lineRule="auto" w:line="240"/>
      <w:ind w:left="1296" w:hanging="1296"/>
      <w:outlineLvl w:val="6"/>
    </w:pPr>
    <w:rPr>
      <w:rFonts w:ascii="Cambria" w:cs="Times New Roman" w:eastAsia="SimSun" w:hAnsi="Cambria"/>
      <w:i/>
      <w:iCs/>
      <w:color w:val="404040"/>
      <w:sz w:val="20"/>
      <w:szCs w:val="20"/>
    </w:rPr>
  </w:style>
  <w:style w:type="paragraph" w:styleId="style8">
    <w:name w:val="heading 8"/>
    <w:basedOn w:val="style0"/>
    <w:next w:val="style0"/>
    <w:link w:val="style4121"/>
    <w:pPr>
      <w:keepNext/>
      <w:keepLines/>
      <w:spacing w:before="200" w:after="0" w:lineRule="auto" w:line="240"/>
      <w:ind w:left="1440" w:hanging="1440"/>
      <w:outlineLvl w:val="7"/>
    </w:pPr>
    <w:rPr>
      <w:rFonts w:ascii="Cambria" w:cs="Times New Roman" w:eastAsia="SimSun" w:hAnsi="Cambria"/>
      <w:color w:val="404040"/>
      <w:sz w:val="20"/>
      <w:szCs w:val="20"/>
    </w:rPr>
  </w:style>
  <w:style w:type="paragraph" w:styleId="style9">
    <w:name w:val="heading 9"/>
    <w:basedOn w:val="style0"/>
    <w:next w:val="style0"/>
    <w:link w:val="style4122"/>
    <w:pPr>
      <w:keepNext/>
      <w:keepLines/>
      <w:spacing w:before="200" w:after="0" w:lineRule="auto" w:line="240"/>
      <w:ind w:left="1584" w:hanging="1584"/>
      <w:outlineLvl w:val="8"/>
    </w:pPr>
    <w:rPr>
      <w:rFonts w:ascii="Cambria" w:cs="Times New Roman" w:eastAsia="SimSun" w:hAnsi="Cambria"/>
      <w:i/>
      <w:iCs/>
      <w:color w:val="404040"/>
      <w:sz w:val="20"/>
      <w:szCs w:val="20"/>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paragraph" w:styleId="style153">
    <w:name w:val="Balloon Text"/>
    <w:basedOn w:val="style0"/>
    <w:next w:val="style153"/>
    <w:link w:val="style4102"/>
    <w:pPr>
      <w:spacing w:after="0" w:lineRule="auto" w:line="240"/>
    </w:pPr>
    <w:rPr>
      <w:rFonts w:ascii="Tahoma" w:cs="Tahoma" w:hAnsi="Tahoma"/>
      <w:sz w:val="16"/>
      <w:szCs w:val="16"/>
    </w:rPr>
  </w:style>
  <w:style w:type="paragraph" w:styleId="style66">
    <w:name w:val="Body Text"/>
    <w:basedOn w:val="style0"/>
    <w:next w:val="style66"/>
    <w:link w:val="style4105"/>
    <w:qFormat/>
    <w:pPr>
      <w:widowControl w:val="false"/>
      <w:autoSpaceDE w:val="false"/>
      <w:autoSpaceDN w:val="false"/>
      <w:spacing w:after="0" w:lineRule="auto" w:line="240"/>
    </w:pPr>
    <w:rPr>
      <w:rFonts w:ascii="Times New Roman" w:cs="Times New Roman" w:eastAsia="Times New Roman" w:hAnsi="Times New Roman"/>
      <w:sz w:val="24"/>
      <w:szCs w:val="24"/>
    </w:rPr>
  </w:style>
  <w:style w:type="paragraph" w:styleId="style34">
    <w:name w:val="caption"/>
    <w:basedOn w:val="style0"/>
    <w:next w:val="style0"/>
    <w:qFormat/>
    <w:pPr>
      <w:spacing w:after="120" w:lineRule="auto" w:line="240"/>
    </w:pPr>
    <w:rPr>
      <w:rFonts w:ascii="Times New Roman" w:hAnsi="Times New Roman"/>
      <w:b/>
      <w:bCs/>
      <w:sz w:val="24"/>
      <w:szCs w:val="18"/>
    </w:rPr>
  </w:style>
  <w:style w:type="character" w:styleId="style39">
    <w:name w:val="annotation reference"/>
    <w:basedOn w:val="style65"/>
    <w:next w:val="style39"/>
    <w:rPr>
      <w:sz w:val="16"/>
      <w:szCs w:val="16"/>
    </w:rPr>
  </w:style>
  <w:style w:type="paragraph" w:styleId="style30">
    <w:name w:val="annotation text"/>
    <w:basedOn w:val="style0"/>
    <w:next w:val="style30"/>
    <w:link w:val="style4110"/>
    <w:qFormat/>
    <w:uiPriority w:val="99"/>
    <w:pPr>
      <w:spacing w:lineRule="auto" w:line="240"/>
    </w:pPr>
    <w:rPr>
      <w:sz w:val="20"/>
      <w:szCs w:val="20"/>
    </w:rPr>
  </w:style>
  <w:style w:type="paragraph" w:styleId="style106">
    <w:name w:val="annotation subject"/>
    <w:basedOn w:val="style30"/>
    <w:next w:val="style30"/>
    <w:link w:val="style4111"/>
    <w:pPr/>
    <w:rPr>
      <w:b/>
      <w:bCs/>
    </w:rPr>
  </w:style>
  <w:style w:type="character" w:styleId="style88">
    <w:name w:val="Emphasis"/>
    <w:basedOn w:val="style65"/>
    <w:next w:val="style88"/>
    <w:qFormat/>
    <w:uiPriority w:val="20"/>
    <w:rPr>
      <w:i/>
      <w:iCs/>
    </w:rPr>
  </w:style>
  <w:style w:type="character" w:styleId="style42">
    <w:name w:val="endnote reference"/>
    <w:basedOn w:val="style65"/>
    <w:next w:val="style42"/>
    <w:rPr>
      <w:vertAlign w:val="superscript"/>
    </w:rPr>
  </w:style>
  <w:style w:type="paragraph" w:styleId="style43">
    <w:name w:val="endnote text"/>
    <w:basedOn w:val="style0"/>
    <w:next w:val="style43"/>
    <w:link w:val="style4108"/>
    <w:pPr>
      <w:spacing w:after="0" w:lineRule="auto" w:line="240"/>
    </w:pPr>
    <w:rPr>
      <w:sz w:val="20"/>
      <w:szCs w:val="20"/>
    </w:rPr>
  </w:style>
  <w:style w:type="paragraph" w:styleId="style32">
    <w:name w:val="footer"/>
    <w:basedOn w:val="style0"/>
    <w:next w:val="style32"/>
    <w:link w:val="style4104"/>
    <w:uiPriority w:val="99"/>
    <w:pPr>
      <w:tabs>
        <w:tab w:val="center" w:leader="none" w:pos="4680"/>
        <w:tab w:val="right" w:leader="none" w:pos="9360"/>
      </w:tabs>
      <w:spacing w:after="0" w:lineRule="auto" w:line="240"/>
    </w:pPr>
    <w:rPr/>
  </w:style>
  <w:style w:type="paragraph" w:styleId="style31">
    <w:name w:val="header"/>
    <w:basedOn w:val="style0"/>
    <w:next w:val="style31"/>
    <w:link w:val="style4103"/>
    <w:pPr>
      <w:tabs>
        <w:tab w:val="center" w:leader="none" w:pos="4680"/>
        <w:tab w:val="right" w:leader="none" w:pos="9360"/>
      </w:tabs>
      <w:spacing w:after="0" w:lineRule="auto" w:line="240"/>
    </w:pPr>
    <w:rPr/>
  </w:style>
  <w:style w:type="character" w:styleId="style85">
    <w:name w:val="Hyperlink"/>
    <w:basedOn w:val="style65"/>
    <w:next w:val="style85"/>
    <w:uiPriority w:val="99"/>
    <w:rPr>
      <w:color w:val="0000ff"/>
      <w:u w:val="single"/>
    </w:rPr>
  </w:style>
  <w:style w:type="paragraph" w:styleId="style94">
    <w:name w:val="Normal (Web)"/>
    <w:basedOn w:val="style0"/>
    <w:next w:val="style94"/>
    <w:uiPriority w:val="99"/>
    <w:pPr>
      <w:spacing w:before="100" w:beforeAutospacing="true" w:after="100" w:afterAutospacing="true" w:lineRule="auto" w:line="240"/>
    </w:pPr>
    <w:rPr>
      <w:rFonts w:ascii="Times New Roman" w:cs="Times New Roman" w:eastAsia="Times New Roman" w:hAnsi="Times New Roman"/>
      <w:sz w:val="24"/>
      <w:szCs w:val="24"/>
      <w:lang w:val="en-GB" w:eastAsia="en-GB"/>
    </w:rPr>
  </w:style>
  <w:style w:type="character" w:styleId="style87">
    <w:name w:val="Strong"/>
    <w:basedOn w:val="style65"/>
    <w:next w:val="style87"/>
    <w:qFormat/>
    <w:uiPriority w:val="22"/>
    <w:rPr>
      <w:b/>
      <w:bCs/>
    </w:rPr>
  </w:style>
  <w:style w:type="table" w:styleId="style154">
    <w:name w:val="Table Grid"/>
    <w:basedOn w:val="style105"/>
    <w:next w:val="style154"/>
    <w:qFormat/>
    <w:pP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cPr>
  </w:style>
  <w:style w:type="paragraph" w:styleId="style35">
    <w:name w:val="table of figures"/>
    <w:basedOn w:val="style0"/>
    <w:next w:val="style0"/>
    <w:uiPriority w:val="99"/>
    <w:pPr>
      <w:spacing w:after="120"/>
    </w:pPr>
    <w:rPr>
      <w:rFonts w:ascii="Times New Roman" w:hAnsi="Times New Roman"/>
      <w:sz w:val="24"/>
    </w:rPr>
  </w:style>
  <w:style w:type="paragraph" w:styleId="style19">
    <w:name w:val="toc 1"/>
    <w:basedOn w:val="style0"/>
    <w:next w:val="style0"/>
    <w:uiPriority w:val="39"/>
    <w:pPr>
      <w:spacing w:after="100"/>
    </w:pPr>
    <w:rPr/>
  </w:style>
  <w:style w:type="paragraph" w:styleId="style20">
    <w:name w:val="toc 2"/>
    <w:basedOn w:val="style0"/>
    <w:next w:val="style0"/>
    <w:uiPriority w:val="39"/>
    <w:pPr>
      <w:spacing w:after="100"/>
      <w:ind w:left="220"/>
    </w:pPr>
    <w:rPr/>
  </w:style>
  <w:style w:type="paragraph" w:styleId="style21">
    <w:name w:val="toc 3"/>
    <w:basedOn w:val="style0"/>
    <w:next w:val="style0"/>
    <w:uiPriority w:val="39"/>
    <w:pPr>
      <w:spacing w:after="100"/>
      <w:ind w:left="440"/>
    </w:pPr>
    <w:rPr/>
  </w:style>
  <w:style w:type="table" w:styleId="style233">
    <w:name w:val="Light List Accent 5"/>
    <w:basedOn w:val="style105"/>
    <w:next w:val="style233"/>
    <w:uiPriority w:val="61"/>
    <w:pPr/>
    <w:rPr/>
    <w:tblPr>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Rule="auto" w:line="240"/>
      </w:pPr>
      <w:rPr>
        <w:b/>
        <w:bCs/>
        <w:color w:val="ffffff"/>
      </w:rPr>
      <w:tblPr/>
      <w:tcPr>
        <w:tcBorders/>
        <w:shd w:val="clear" w:color="auto" w:fill="4bacc6"/>
      </w:tcPr>
    </w:tblStylePr>
    <w:tblStylePr w:type="lastRow">
      <w:pPr>
        <w:spacing w:before="0" w:after="0" w:lineRule="auto" w:line="240"/>
      </w:pPr>
      <w:rPr>
        <w:b/>
        <w:bCs/>
      </w:rPr>
      <w:tblPr/>
      <w:tcPr>
        <w:tcBorders>
          <w:top w:val="double" w:sz="6" w:space="0" w:color="4bacc6"/>
          <w:left w:val="single" w:sz="8" w:space="0" w:color="4bacc6"/>
          <w:bottom w:val="single" w:sz="8" w:space="0" w:color="4bacc6"/>
          <w:right w:val="single" w:sz="8" w:space="0" w:color="4bacc6"/>
        </w:tcBorders>
      </w:tcPr>
    </w:tblStylePr>
    <w:tblStylePr w:type="band1Horz">
      <w:pPr/>
      <w:tblPr/>
      <w:tcPr>
        <w:tcBorders>
          <w:top w:val="single" w:sz="8" w:space="0" w:color="4bacc6"/>
          <w:left w:val="single" w:sz="8" w:space="0" w:color="4bacc6"/>
          <w:bottom w:val="single" w:sz="8" w:space="0" w:color="4bacc6"/>
          <w:right w:val="single" w:sz="8" w:space="0" w:color="4bacc6"/>
        </w:tcBorders>
      </w:tcPr>
    </w:tblStylePr>
    <w:tblStylePr w:type="firstCol">
      <w:pPr/>
      <w:rPr>
        <w:b/>
        <w:bCs/>
      </w:rPr>
      <w:tcPr>
        <w:tcBorders/>
      </w:tcPr>
    </w:tblStylePr>
    <w:tblStylePr w:type="lastCol">
      <w:pPr/>
      <w:rPr>
        <w:b/>
        <w:bCs/>
      </w:rPr>
      <w:tcPr>
        <w:tcBorders/>
      </w:tcPr>
    </w:tblStylePr>
    <w:tblStylePr w:type="band1Vert">
      <w:pPr/>
      <w:tblPr/>
      <w:tcPr>
        <w:tcBorders>
          <w:top w:val="single" w:sz="8" w:space="0" w:color="4bacc6"/>
          <w:left w:val="single" w:sz="8" w:space="0" w:color="4bacc6"/>
          <w:bottom w:val="single" w:sz="8" w:space="0" w:color="4bacc6"/>
          <w:right w:val="single" w:sz="8" w:space="0" w:color="4bacc6"/>
        </w:tcBorders>
      </w:tcPr>
    </w:tblStylePr>
    <w:tcPr>
      <w:tcBorders/>
    </w:tcPr>
  </w:style>
  <w:style w:type="table" w:styleId="style176">
    <w:name w:val="Medium Shading 2 Accent 1"/>
    <w:basedOn w:val="style105"/>
    <w:next w:val="style176"/>
    <w:uiPriority w:val="64"/>
    <w:pPr/>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Rule="auto" w:line="240"/>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Rule="auto" w:line="240"/>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band1Horz">
      <w:pPr/>
      <w:tblPr/>
      <w:tcPr>
        <w:tcBorders/>
        <w:shd w:val="clear" w:color="auto" w:fill="d8d8d8"/>
      </w:tcPr>
    </w:tblStylePr>
    <w:tblStylePr w:type="firstCol">
      <w:pPr/>
      <w:rPr>
        <w:b/>
        <w:bCs/>
        <w:color w:val="ffffff"/>
      </w:rPr>
      <w:tblPr/>
      <w:tcPr>
        <w:tcBorders>
          <w:top w:val="nil"/>
          <w:left w:val="nil"/>
          <w:bottom w:val="single" w:sz="18" w:space="0" w:color="auto"/>
          <w:right w:val="nil"/>
          <w:insideH w:val="nil"/>
          <w:insideV w:val="nil"/>
        </w:tcBorders>
        <w:shd w:val="clear" w:color="auto" w:fill="4f81bd"/>
      </w:tcPr>
    </w:tblStylePr>
    <w:tblStylePr w:type="lastCol">
      <w:pPr/>
      <w:rPr>
        <w:b/>
        <w:bCs/>
        <w:color w:val="ffffff"/>
      </w:rPr>
      <w:tblPr/>
      <w:tcPr>
        <w:tcBorders>
          <w:left w:val="nil"/>
          <w:right w:val="nil"/>
          <w:insideH w:val="nil"/>
          <w:insideV w:val="nil"/>
        </w:tcBorders>
        <w:shd w:val="clear" w:color="auto" w:fill="4f81bd"/>
      </w:tcPr>
    </w:tblStylePr>
    <w:tblStylePr w:type="band1Vert">
      <w:pPr/>
      <w:tblPr/>
      <w:tcPr>
        <w:tcBorders>
          <w:left w:val="nil"/>
          <w:right w:val="nil"/>
          <w:insideH w:val="nil"/>
          <w:insideV w:val="nil"/>
        </w:tcBorders>
        <w:shd w:val="clear" w:color="auto" w:fill="d8d8d8"/>
      </w:tcPr>
    </w:tblStylePr>
    <w:tblStylePr w:type="neCell">
      <w:pPr/>
      <w:tblPr/>
      <w:tcPr>
        <w:tcBorders>
          <w:top w:val="single" w:sz="18" w:space="0" w:color="auto"/>
          <w:left w:val="nil"/>
          <w:bottom w:val="single" w:sz="18" w:space="0" w:color="auto"/>
          <w:right w:val="nil"/>
          <w:insideH w:val="nil"/>
          <w:insideV w:val="nil"/>
        </w:tcBorders>
      </w:tcPr>
    </w:tblStylePr>
    <w:tblStylePr w:type="nwCell">
      <w:pPr/>
      <w:rPr>
        <w:color w:val="ffffff"/>
      </w:rPr>
      <w:tblPr/>
      <w:tcPr>
        <w:tcBorders>
          <w:top w:val="single" w:sz="18" w:space="0" w:color="auto"/>
          <w:left w:val="nil"/>
          <w:bottom w:val="single" w:sz="18" w:space="0" w:color="auto"/>
          <w:right w:val="nil"/>
          <w:insideH w:val="nil"/>
          <w:insideV w:val="nil"/>
        </w:tcBorders>
      </w:tcPr>
    </w:tblStylePr>
    <w:tcPr>
      <w:tcBorders/>
    </w:tcPr>
  </w:style>
  <w:style w:type="table" w:styleId="style208">
    <w:name w:val="Medium Shading 2 Accent 3"/>
    <w:basedOn w:val="style105"/>
    <w:next w:val="style208"/>
    <w:uiPriority w:val="64"/>
    <w:pPr/>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Rule="auto" w:line="240"/>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Rule="auto" w:line="240"/>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band1Horz">
      <w:pPr/>
      <w:tblPr/>
      <w:tcPr>
        <w:tcBorders/>
        <w:shd w:val="clear" w:color="auto" w:fill="d8d8d8"/>
      </w:tcPr>
    </w:tblStylePr>
    <w:tblStylePr w:type="firstCol">
      <w:pPr/>
      <w:rPr>
        <w:b/>
        <w:bCs/>
        <w:color w:val="ffffff"/>
      </w:rPr>
      <w:tblPr/>
      <w:tcPr>
        <w:tcBorders>
          <w:top w:val="nil"/>
          <w:left w:val="nil"/>
          <w:bottom w:val="single" w:sz="18" w:space="0" w:color="auto"/>
          <w:right w:val="nil"/>
          <w:insideH w:val="nil"/>
          <w:insideV w:val="nil"/>
        </w:tcBorders>
        <w:shd w:val="clear" w:color="auto" w:fill="9bbb59"/>
      </w:tcPr>
    </w:tblStylePr>
    <w:tblStylePr w:type="lastCol">
      <w:pPr/>
      <w:rPr>
        <w:b/>
        <w:bCs/>
        <w:color w:val="ffffff"/>
      </w:rPr>
      <w:tblPr/>
      <w:tcPr>
        <w:tcBorders>
          <w:left w:val="nil"/>
          <w:right w:val="nil"/>
          <w:insideH w:val="nil"/>
          <w:insideV w:val="nil"/>
        </w:tcBorders>
        <w:shd w:val="clear" w:color="auto" w:fill="9bbb59"/>
      </w:tcPr>
    </w:tblStylePr>
    <w:tblStylePr w:type="band1Vert">
      <w:pPr/>
      <w:tblPr/>
      <w:tcPr>
        <w:tcBorders>
          <w:left w:val="nil"/>
          <w:right w:val="nil"/>
          <w:insideH w:val="nil"/>
          <w:insideV w:val="nil"/>
        </w:tcBorders>
        <w:shd w:val="clear" w:color="auto" w:fill="d8d8d8"/>
      </w:tcPr>
    </w:tblStylePr>
    <w:tblStylePr w:type="neCell">
      <w:pPr/>
      <w:tblPr/>
      <w:tcPr>
        <w:tcBorders>
          <w:top w:val="single" w:sz="18" w:space="0" w:color="auto"/>
          <w:left w:val="nil"/>
          <w:bottom w:val="single" w:sz="18" w:space="0" w:color="auto"/>
          <w:right w:val="nil"/>
          <w:insideH w:val="nil"/>
          <w:insideV w:val="nil"/>
        </w:tcBorders>
      </w:tcPr>
    </w:tblStylePr>
    <w:tblStylePr w:type="nwCell">
      <w:pPr/>
      <w:rPr>
        <w:color w:val="ffffff"/>
      </w:rPr>
      <w:tblPr/>
      <w:tcPr>
        <w:tcBorders>
          <w:top w:val="single" w:sz="18" w:space="0" w:color="auto"/>
          <w:left w:val="nil"/>
          <w:bottom w:val="single" w:sz="18" w:space="0" w:color="auto"/>
          <w:right w:val="nil"/>
          <w:insideH w:val="nil"/>
          <w:insideV w:val="nil"/>
        </w:tcBorders>
      </w:tcPr>
    </w:tblStylePr>
    <w:tcPr>
      <w:tcBorders/>
    </w:tcPr>
  </w:style>
  <w:style w:type="table" w:styleId="style241">
    <w:name w:val="Medium Grid 3 Accent 5"/>
    <w:basedOn w:val="style105"/>
    <w:next w:val="style241"/>
    <w:uiPriority w:val="69"/>
    <w:pPr/>
    <w:rPr/>
    <w:tblPr>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d2eaf1"/>
      <w:tblCellMar>
        <w:top w:w="0" w:type="dxa"/>
        <w:left w:w="108" w:type="dxa"/>
        <w:bottom w:w="0" w:type="dxa"/>
        <w:right w:w="108" w:type="dxa"/>
      </w:tblCellMar>
    </w:tblPr>
    <w:tblStylePr w:type="firstRow">
      <w:pPr/>
      <w:rPr>
        <w:b/>
        <w:bCs/>
        <w:i w:val="false"/>
        <w:iCs w:val="false"/>
        <w:color w:val="ffffff"/>
      </w:rPr>
      <w:tblPr/>
      <w:tcPr>
        <w:tcBorders>
          <w:top w:val="single" w:sz="8" w:space="0" w:color="ffffff"/>
          <w:left w:val="single" w:sz="8" w:space="0" w:color="ffffff"/>
          <w:bottom w:val="single" w:sz="24" w:space="0" w:color="ffffff"/>
          <w:right w:val="single" w:sz="8" w:space="0" w:color="ffffff"/>
          <w:insideH w:val="nil"/>
          <w:insideV w:val="single" w:sz="8" w:space="0" w:color="auto"/>
        </w:tcBorders>
        <w:shd w:val="clear" w:color="auto" w:fill="4bacc6"/>
      </w:tcPr>
    </w:tblStylePr>
    <w:tblStylePr w:type="lastRow">
      <w:pPr/>
      <w:rPr>
        <w:b/>
        <w:bCs/>
        <w:i w:val="false"/>
        <w:iCs w:val="false"/>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4bacc6"/>
      </w:tcPr>
    </w:tblStylePr>
    <w:tblStylePr w:type="band1Horz">
      <w:pPr/>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a5d5e2"/>
      </w:tcPr>
    </w:tblStylePr>
    <w:tblStylePr w:type="firstCol">
      <w:pPr/>
      <w:rPr>
        <w:b/>
        <w:bCs/>
        <w:i w:val="false"/>
        <w:iCs w:val="false"/>
        <w:color w:val="ffffff"/>
      </w:rPr>
      <w:tblPr/>
      <w:tcPr>
        <w:tcBorders>
          <w:left w:val="single" w:sz="8" w:space="0" w:color="ffffff"/>
          <w:right w:val="single" w:sz="24" w:space="0" w:color="ffffff"/>
          <w:insideH w:val="nil"/>
          <w:insideV w:val="nil"/>
        </w:tcBorders>
        <w:shd w:val="clear" w:color="auto" w:fill="4bacc6"/>
      </w:tcPr>
    </w:tblStylePr>
    <w:tblStylePr w:type="lastCol">
      <w:pPr/>
      <w:rPr>
        <w:b/>
        <w:bCs/>
        <w:i w:val="false"/>
        <w:iCs w:val="false"/>
        <w:color w:val="ffffff"/>
      </w:rPr>
      <w:tblPr/>
      <w:tcPr>
        <w:tcBorders>
          <w:top w:val="nil"/>
          <w:left w:val="single" w:sz="24" w:space="0" w:color="ffffff"/>
          <w:bottom w:val="nil"/>
          <w:right w:val="nil"/>
          <w:insideH w:val="nil"/>
          <w:insideV w:val="nil"/>
        </w:tcBorders>
        <w:shd w:val="clear" w:color="auto" w:fill="4bacc6"/>
      </w:tcPr>
    </w:tblStylePr>
    <w:tblStylePr w:type="band1Vert">
      <w:pPr/>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cPr>
      <w:tcBorders/>
      <w:shd w:val="clear" w:color="auto" w:fill="d2eaf1"/>
    </w:tcPr>
  </w:style>
  <w:style w:type="table" w:styleId="style258">
    <w:name w:val="Colorful List Accent 6"/>
    <w:basedOn w:val="style105"/>
    <w:next w:val="style258"/>
    <w:uiPriority w:val="72"/>
    <w:pPr/>
    <w:rPr>
      <w:color w:val="000000"/>
    </w:rPr>
    <w:tblPr>
      <w:tblInd w:w="0" w:type="dxa"/>
      <w:shd w:val="clear" w:color="auto" w:fill="fef4ec"/>
      <w:tblCellMar>
        <w:top w:w="0" w:type="dxa"/>
        <w:left w:w="108" w:type="dxa"/>
        <w:bottom w:w="0" w:type="dxa"/>
        <w:right w:w="108" w:type="dxa"/>
      </w:tblCellMar>
    </w:tblPr>
    <w:tblStylePr w:type="firstRow">
      <w:pPr/>
      <w:rPr>
        <w:b/>
        <w:bCs/>
        <w:color w:val="ffffff"/>
      </w:rPr>
      <w:tblPr/>
      <w:tcPr>
        <w:tcBorders>
          <w:bottom w:val="single" w:sz="12" w:space="0" w:color="ffffff"/>
        </w:tcBorders>
        <w:shd w:val="clear" w:color="auto" w:fill="348da5"/>
      </w:tcPr>
    </w:tblStylePr>
    <w:tblStylePr w:type="lastRow">
      <w:pPr/>
      <w:rPr>
        <w:b/>
        <w:bCs/>
        <w:color w:val="348da5"/>
      </w:rPr>
      <w:tblPr/>
      <w:tcPr>
        <w:tcBorders>
          <w:top w:val="single" w:sz="12" w:space="0" w:color="000000"/>
        </w:tcBorders>
        <w:shd w:val="clear" w:color="auto" w:fill="ffffff"/>
      </w:tcPr>
    </w:tblStylePr>
    <w:tblStylePr w:type="band1Horz">
      <w:pPr/>
      <w:tblPr/>
      <w:tcPr>
        <w:tcBorders/>
        <w:shd w:val="clear" w:color="auto" w:fill="fde9d9"/>
      </w:tcPr>
    </w:tblStylePr>
    <w:tblStylePr w:type="firstCol">
      <w:pPr/>
      <w:rPr>
        <w:b/>
        <w:bCs/>
      </w:rPr>
      <w:tcPr>
        <w:tcBorders/>
      </w:tcPr>
    </w:tblStylePr>
    <w:tblStylePr w:type="lastCol">
      <w:pPr/>
      <w:rPr>
        <w:b/>
        <w:bCs/>
      </w:rPr>
      <w:tcPr>
        <w:tcBorders/>
      </w:tcPr>
    </w:tblStylePr>
    <w:tblStylePr w:type="band1Vert">
      <w:pPr/>
      <w:tblPr/>
      <w:tcPr>
        <w:tcBorders>
          <w:top w:val="nil"/>
          <w:left w:val="nil"/>
          <w:bottom w:val="nil"/>
          <w:right w:val="nil"/>
          <w:insideH w:val="nil"/>
          <w:insideV w:val="nil"/>
        </w:tcBorders>
        <w:shd w:val="clear" w:color="auto" w:fill="fde4d0"/>
      </w:tcPr>
    </w:tblStylePr>
    <w:tcPr>
      <w:tcBorders/>
      <w:shd w:val="clear" w:color="auto" w:fill="fef4ec"/>
    </w:tcPr>
  </w:style>
  <w:style w:type="character" w:customStyle="1" w:styleId="style4097">
    <w:name w:val="Heading 2 Char_9fa62e85-9e6f-47fb-bd77-7c08aea1f88e"/>
    <w:basedOn w:val="style65"/>
    <w:next w:val="style4097"/>
    <w:link w:val="style2"/>
    <w:qFormat/>
    <w:rPr>
      <w:rFonts w:ascii="Times New Roman" w:cs="Times New Roman" w:eastAsia="Times New Roman" w:hAnsi="Times New Roman"/>
      <w:b/>
      <w:bCs/>
      <w:sz w:val="36"/>
      <w:szCs w:val="36"/>
    </w:rPr>
  </w:style>
  <w:style w:type="character" w:customStyle="1" w:styleId="style4098">
    <w:name w:val="mntl-sc-block-heading__text"/>
    <w:basedOn w:val="style65"/>
    <w:next w:val="style4098"/>
  </w:style>
  <w:style w:type="paragraph" w:customStyle="1" w:styleId="style4099">
    <w:name w:val="comp"/>
    <w:basedOn w:val="style0"/>
    <w:next w:val="style4099"/>
    <w:pPr>
      <w:spacing w:before="100" w:beforeAutospacing="true" w:after="100" w:afterAutospacing="true" w:lineRule="auto" w:line="240"/>
    </w:pPr>
    <w:rPr>
      <w:rFonts w:ascii="Times New Roman" w:cs="Times New Roman" w:eastAsia="Times New Roman" w:hAnsi="Times New Roman"/>
      <w:sz w:val="24"/>
      <w:szCs w:val="24"/>
    </w:rPr>
  </w:style>
  <w:style w:type="paragraph" w:styleId="style179">
    <w:name w:val="List Paragraph"/>
    <w:basedOn w:val="style0"/>
    <w:next w:val="style179"/>
    <w:qFormat/>
    <w:uiPriority w:val="1"/>
    <w:pPr>
      <w:ind w:left="720"/>
      <w:contextualSpacing/>
    </w:pPr>
    <w:rPr/>
  </w:style>
  <w:style w:type="character" w:customStyle="1" w:styleId="style4100">
    <w:name w:val="Heading 3 Char_ae58ffae-9852-4b68-a74e-67b3fa3a977f"/>
    <w:basedOn w:val="style65"/>
    <w:next w:val="style4100"/>
    <w:link w:val="style3"/>
    <w:rPr>
      <w:rFonts w:ascii="Cambria" w:cs="Times New Roman" w:eastAsia="宋体" w:hAnsi="Cambria"/>
      <w:b/>
      <w:bCs/>
      <w:color w:val="4f81bd"/>
    </w:rPr>
  </w:style>
  <w:style w:type="character" w:customStyle="1" w:styleId="style4101">
    <w:name w:val="Heading 1 Char_0ad1f5eb-2bae-4030-ba8d-706da9059b72"/>
    <w:basedOn w:val="style65"/>
    <w:next w:val="style4101"/>
    <w:link w:val="style1"/>
    <w:rPr>
      <w:rFonts w:ascii="Cambria" w:cs="Times New Roman" w:eastAsia="宋体" w:hAnsi="Cambria"/>
      <w:b/>
      <w:bCs/>
      <w:color w:val="365f91"/>
      <w:sz w:val="28"/>
      <w:szCs w:val="28"/>
    </w:rPr>
  </w:style>
  <w:style w:type="character" w:customStyle="1" w:styleId="style4102">
    <w:name w:val="Balloon Text Char"/>
    <w:basedOn w:val="style65"/>
    <w:next w:val="style4102"/>
    <w:link w:val="style153"/>
    <w:rPr>
      <w:rFonts w:ascii="Tahoma" w:cs="Tahoma" w:hAnsi="Tahoma"/>
      <w:sz w:val="16"/>
      <w:szCs w:val="16"/>
    </w:rPr>
  </w:style>
  <w:style w:type="character" w:customStyle="1" w:styleId="style4103">
    <w:name w:val="Header Char_6c0c1895-4b09-4fc9-9a5a-e86ba2d9da7a"/>
    <w:basedOn w:val="style65"/>
    <w:next w:val="style4103"/>
    <w:link w:val="style31"/>
  </w:style>
  <w:style w:type="character" w:customStyle="1" w:styleId="style4104">
    <w:name w:val="Footer Char_646d394c-698b-4f01-8adb-9f2822cb93f8"/>
    <w:basedOn w:val="style65"/>
    <w:next w:val="style4104"/>
    <w:link w:val="style32"/>
    <w:uiPriority w:val="99"/>
  </w:style>
  <w:style w:type="character" w:customStyle="1" w:styleId="style4105">
    <w:name w:val="Body Text Char"/>
    <w:basedOn w:val="style65"/>
    <w:next w:val="style4105"/>
    <w:link w:val="style66"/>
    <w:rPr>
      <w:rFonts w:ascii="Times New Roman" w:cs="Times New Roman" w:eastAsia="Times New Roman" w:hAnsi="Times New Roman"/>
      <w:sz w:val="24"/>
      <w:szCs w:val="24"/>
    </w:rPr>
  </w:style>
  <w:style w:type="character" w:customStyle="1" w:styleId="style4106">
    <w:name w:val="Heading 4 Char_9934d8aa-77ec-48fe-8d16-56079d9ae2f3"/>
    <w:basedOn w:val="style65"/>
    <w:next w:val="style4106"/>
    <w:link w:val="style4"/>
    <w:rPr>
      <w:rFonts w:ascii="Cambria" w:cs="Times New Roman" w:eastAsia="宋体" w:hAnsi="Cambria"/>
      <w:b/>
      <w:bCs/>
      <w:i/>
      <w:iCs/>
      <w:color w:val="4f81bd"/>
    </w:rPr>
  </w:style>
  <w:style w:type="character" w:customStyle="1" w:styleId="style4107">
    <w:name w:val="fontstyle01"/>
    <w:basedOn w:val="style65"/>
    <w:next w:val="style4107"/>
    <w:rPr>
      <w:rFonts w:ascii="Garamond-Bold" w:hAnsi="Garamond-Bold" w:hint="default"/>
      <w:b/>
      <w:bCs/>
      <w:color w:val="000000"/>
      <w:sz w:val="24"/>
      <w:szCs w:val="24"/>
    </w:rPr>
  </w:style>
  <w:style w:type="character" w:customStyle="1" w:styleId="style4108">
    <w:name w:val="Endnote Text Char"/>
    <w:basedOn w:val="style65"/>
    <w:next w:val="style4108"/>
    <w:link w:val="style43"/>
    <w:rPr>
      <w:sz w:val="20"/>
      <w:szCs w:val="20"/>
    </w:rPr>
  </w:style>
  <w:style w:type="character" w:styleId="style156">
    <w:name w:val="Placeholder Text"/>
    <w:basedOn w:val="style65"/>
    <w:next w:val="style156"/>
    <w:uiPriority w:val="99"/>
    <w:rPr>
      <w:color w:val="808080"/>
    </w:rPr>
  </w:style>
  <w:style w:type="paragraph" w:customStyle="1" w:styleId="style4109">
    <w:name w:val="Revision1"/>
    <w:next w:val="style4109"/>
    <w:uiPriority w:val="99"/>
    <w:pPr/>
    <w:rPr>
      <w:rFonts w:ascii="Calibri" w:cs="Arial" w:eastAsia="Calibri" w:hAnsi="Calibri"/>
      <w:sz w:val="22"/>
      <w:szCs w:val="22"/>
    </w:rPr>
  </w:style>
  <w:style w:type="character" w:customStyle="1" w:styleId="style4110">
    <w:name w:val="Comment Text Char"/>
    <w:basedOn w:val="style65"/>
    <w:next w:val="style4110"/>
    <w:link w:val="style30"/>
    <w:qFormat/>
    <w:uiPriority w:val="99"/>
    <w:rPr>
      <w:sz w:val="20"/>
      <w:szCs w:val="20"/>
    </w:rPr>
  </w:style>
  <w:style w:type="character" w:customStyle="1" w:styleId="style4111">
    <w:name w:val="Comment Subject Char"/>
    <w:basedOn w:val="style4110"/>
    <w:next w:val="style4111"/>
    <w:link w:val="style106"/>
    <w:rPr>
      <w:b/>
      <w:bCs/>
      <w:sz w:val="20"/>
      <w:szCs w:val="20"/>
    </w:rPr>
  </w:style>
  <w:style w:type="paragraph" w:customStyle="1" w:styleId="style4112">
    <w:name w:val="TOC Heading1"/>
    <w:basedOn w:val="style1"/>
    <w:next w:val="style0"/>
    <w:qFormat/>
    <w:uiPriority w:val="39"/>
    <w:pPr>
      <w:outlineLvl w:val="9"/>
    </w:pPr>
    <w:rPr>
      <w:lang w:eastAsia="ja-JP"/>
    </w:rPr>
  </w:style>
  <w:style w:type="paragraph" w:customStyle="1" w:styleId="style4113">
    <w:name w:val="Default"/>
    <w:next w:val="style4113"/>
    <w:pPr>
      <w:autoSpaceDE w:val="false"/>
      <w:autoSpaceDN w:val="false"/>
      <w:adjustRightInd w:val="false"/>
    </w:pPr>
    <w:rPr>
      <w:rFonts w:eastAsia="Calibri"/>
      <w:color w:val="000000"/>
      <w:sz w:val="24"/>
      <w:szCs w:val="24"/>
    </w:rPr>
  </w:style>
  <w:style w:type="paragraph" w:customStyle="1" w:styleId="style4114">
    <w:name w:val="Bibliography1"/>
    <w:basedOn w:val="style0"/>
    <w:next w:val="style0"/>
    <w:pPr/>
  </w:style>
  <w:style w:type="paragraph" w:styleId="style157">
    <w:name w:val="No Spacing"/>
    <w:next w:val="style157"/>
    <w:link w:val="style4130"/>
    <w:qFormat/>
    <w:pPr/>
    <w:rPr>
      <w:rFonts w:ascii="Calibri" w:cs="Arial" w:eastAsia="Calibri" w:hAnsi="Calibri"/>
      <w:sz w:val="22"/>
      <w:szCs w:val="22"/>
    </w:rPr>
  </w:style>
  <w:style w:type="character" w:customStyle="1" w:styleId="style4115">
    <w:name w:val="_"/>
    <w:basedOn w:val="style65"/>
    <w:next w:val="style4115"/>
  </w:style>
  <w:style w:type="character" w:customStyle="1" w:styleId="style4116">
    <w:name w:val="author"/>
    <w:basedOn w:val="style65"/>
    <w:next w:val="style4116"/>
  </w:style>
  <w:style w:type="character" w:customStyle="1" w:styleId="style4117">
    <w:name w:val="Heading 5 Char_d1b9c042-dd3d-4e73-838f-cd313973d64a"/>
    <w:basedOn w:val="style65"/>
    <w:next w:val="style4117"/>
    <w:link w:val="style5"/>
    <w:rPr>
      <w:rFonts w:ascii="Cambria" w:cs="Times New Roman" w:eastAsia="宋体" w:hAnsi="Cambria"/>
      <w:color w:val="244061"/>
    </w:rPr>
  </w:style>
  <w:style w:type="paragraph" w:customStyle="1" w:styleId="style4118">
    <w:name w:val="Table Paragraph"/>
    <w:basedOn w:val="style0"/>
    <w:next w:val="style4118"/>
    <w:qFormat/>
    <w:pPr>
      <w:widowControl w:val="false"/>
      <w:autoSpaceDE w:val="false"/>
      <w:autoSpaceDN w:val="false"/>
      <w:spacing w:after="0" w:lineRule="auto" w:line="240"/>
    </w:pPr>
    <w:rPr>
      <w:rFonts w:ascii="Times New Roman" w:cs="Times New Roman" w:eastAsia="Times New Roman" w:hAnsi="Times New Roman"/>
    </w:rPr>
  </w:style>
  <w:style w:type="character" w:customStyle="1" w:styleId="style4119">
    <w:name w:val="Heading 6 Char_e39f6a35-648a-4538-9860-8981dccb45e6"/>
    <w:basedOn w:val="style65"/>
    <w:next w:val="style4119"/>
    <w:link w:val="style6"/>
    <w:rPr>
      <w:rFonts w:ascii="Cambria" w:hAnsi="Cambria"/>
      <w:i/>
      <w:iCs/>
      <w:color w:val="243f60"/>
    </w:rPr>
  </w:style>
  <w:style w:type="character" w:customStyle="1" w:styleId="style4120">
    <w:name w:val="Heading 7 Char_87128415-5ac2-4f70-8c60-4edec3685ec7"/>
    <w:basedOn w:val="style65"/>
    <w:next w:val="style4120"/>
    <w:link w:val="style7"/>
    <w:rPr>
      <w:rFonts w:ascii="Cambria" w:hAnsi="Cambria"/>
      <w:i/>
      <w:iCs/>
      <w:color w:val="404040"/>
    </w:rPr>
  </w:style>
  <w:style w:type="character" w:customStyle="1" w:styleId="style4121">
    <w:name w:val="Heading 8 Char_fedc0ee1-ac07-4b2f-96af-ccef6560e0ff"/>
    <w:basedOn w:val="style65"/>
    <w:next w:val="style4121"/>
    <w:link w:val="style8"/>
    <w:rPr>
      <w:rFonts w:ascii="Cambria" w:hAnsi="Cambria"/>
      <w:color w:val="404040"/>
    </w:rPr>
  </w:style>
  <w:style w:type="character" w:customStyle="1" w:styleId="style4122">
    <w:name w:val="Heading 9 Char_a16ead4e-2e4e-40ed-ba26-927362f10f4e"/>
    <w:basedOn w:val="style65"/>
    <w:next w:val="style4122"/>
    <w:link w:val="style9"/>
    <w:rPr>
      <w:rFonts w:ascii="Cambria" w:hAnsi="Cambria"/>
      <w:i/>
      <w:iCs/>
      <w:color w:val="404040"/>
    </w:rPr>
  </w:style>
  <w:style w:type="numbering" w:customStyle="1" w:styleId="style4123">
    <w:name w:val="No List1"/>
    <w:next w:val="style107"/>
    <w:uiPriority w:val="99"/>
    <w:pPr/>
  </w:style>
  <w:style w:type="character" w:customStyle="1" w:styleId="style4124">
    <w:name w:val="Body Text Char1"/>
    <w:basedOn w:val="style65"/>
    <w:next w:val="style4124"/>
    <w:rPr>
      <w:rFonts w:ascii="Calibri" w:cs="SimSun" w:eastAsia="Calibri" w:hAnsi="Calibri"/>
      <w:sz w:val="24"/>
      <w:szCs w:val="24"/>
    </w:rPr>
  </w:style>
  <w:style w:type="character" w:customStyle="1" w:styleId="style4125">
    <w:name w:val="Header Char1"/>
    <w:basedOn w:val="style65"/>
    <w:next w:val="style4125"/>
    <w:uiPriority w:val="99"/>
    <w:rPr>
      <w:rFonts w:ascii="Calibri" w:cs="SimSun" w:eastAsia="Calibri" w:hAnsi="Calibri"/>
      <w:sz w:val="24"/>
      <w:szCs w:val="24"/>
    </w:rPr>
  </w:style>
  <w:style w:type="character" w:customStyle="1" w:styleId="style4126">
    <w:name w:val="Footer Char1"/>
    <w:basedOn w:val="style65"/>
    <w:next w:val="style4126"/>
    <w:uiPriority w:val="99"/>
    <w:rPr>
      <w:rFonts w:ascii="Calibri" w:cs="SimSun" w:eastAsia="Calibri" w:hAnsi="Calibri"/>
      <w:sz w:val="24"/>
      <w:szCs w:val="24"/>
    </w:rPr>
  </w:style>
  <w:style w:type="character" w:customStyle="1" w:styleId="style4127">
    <w:name w:val="sr-inner"/>
    <w:next w:val="style4127"/>
    <w:rPr>
      <w:rFonts w:ascii="Times New Roman" w:cs="Times New Roman" w:eastAsia="SimSun" w:hAnsi="Times New Roman"/>
      <w:lang w:val="en-US" w:bidi="ar-SA" w:eastAsia="en-US"/>
    </w:rPr>
  </w:style>
  <w:style w:type="character" w:customStyle="1" w:styleId="style4128">
    <w:name w:val="words"/>
    <w:next w:val="style4128"/>
    <w:rPr>
      <w:rFonts w:ascii="Times New Roman" w:cs="Times New Roman" w:eastAsia="SimSun" w:hAnsi="Times New Roman"/>
      <w:lang w:val="en-US" w:bidi="ar-SA" w:eastAsia="en-US"/>
    </w:rPr>
  </w:style>
  <w:style w:type="character" w:customStyle="1" w:styleId="style4129">
    <w:name w:val="sw"/>
    <w:next w:val="style4129"/>
    <w:rPr>
      <w:rFonts w:ascii="Times New Roman" w:cs="Times New Roman" w:eastAsia="SimSun" w:hAnsi="Times New Roman"/>
      <w:lang w:val="en-US" w:bidi="ar-SA" w:eastAsia="en-US"/>
    </w:rPr>
  </w:style>
  <w:style w:type="character" w:customStyle="1" w:styleId="style4130">
    <w:name w:val="No Spacing Char"/>
    <w:next w:val="style4130"/>
    <w:link w:val="style157"/>
    <w:rPr>
      <w:rFonts w:ascii="Calibri" w:cs="Arial" w:eastAsia="Calibri" w:hAnsi="Calibri"/>
      <w:sz w:val="22"/>
      <w:szCs w:val="22"/>
    </w:rPr>
  </w:style>
  <w:style w:type="character" w:customStyle="1" w:styleId="style4131">
    <w:name w:val="uv3um"/>
    <w:next w:val="style4131"/>
    <w:rPr>
      <w:rFonts w:ascii="Times New Roman" w:cs="Symbol" w:eastAsia="SimSun" w:hAnsi="Times New Roman"/>
      <w:lang w:val="en-US" w:bidi="ar-SA" w:eastAsia="en-US"/>
    </w:rPr>
  </w:style>
  <w:style w:type="character" w:customStyle="1" w:styleId="style4132">
    <w:name w:val="Comment Text Char1"/>
    <w:basedOn w:val="style65"/>
    <w:next w:val="style4132"/>
    <w:uiPriority w:val="99"/>
    <w:rPr>
      <w:rFonts w:ascii="Calibri" w:cs="SimSun" w:eastAsia="Calibri" w:hAnsi="Calibri"/>
    </w:rPr>
  </w:style>
  <w:style w:type="paragraph" w:styleId="style22">
    <w:name w:val="toc 4"/>
    <w:basedOn w:val="style0"/>
    <w:next w:val="style0"/>
    <w:pPr>
      <w:spacing w:after="100" w:lineRule="auto" w:line="240"/>
      <w:ind w:left="720"/>
    </w:pPr>
    <w:rPr>
      <w:rFonts w:ascii="Times New Roman" w:cs="Times New Roman" w:eastAsia="SimSun" w:hAnsi="Times New Roman"/>
      <w:sz w:val="24"/>
      <w:szCs w:val="24"/>
    </w:rPr>
  </w:style>
  <w:style w:type="paragraph" w:styleId="style23">
    <w:name w:val="toc 5"/>
    <w:basedOn w:val="style0"/>
    <w:next w:val="style0"/>
    <w:pPr>
      <w:spacing w:after="100" w:lineRule="auto" w:line="240"/>
      <w:ind w:left="960"/>
    </w:pPr>
    <w:rPr>
      <w:rFonts w:ascii="Times New Roman" w:cs="Times New Roman" w:eastAsia="SimSun" w:hAnsi="Times New Roman"/>
      <w:sz w:val="24"/>
      <w:szCs w:val="24"/>
    </w:rPr>
  </w:style>
  <w:style w:type="table" w:customStyle="1" w:styleId="style4133">
    <w:name w:val="Table Grid1"/>
    <w:basedOn w:val="style105"/>
    <w:next w:val="style4133"/>
    <w:pPr/>
    <w:rPr>
      <w:rFonts w:ascii="Calibri" w:cs="SimSun"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cPr>
  </w:style>
  <w:style w:type="paragraph" w:customStyle="1" w:styleId="style4134">
    <w:name w:val="my-2"/>
    <w:basedOn w:val="style0"/>
    <w:next w:val="style4134"/>
    <w:pPr>
      <w:spacing w:before="100" w:beforeAutospacing="true" w:after="100" w:afterAutospacing="true" w:lineRule="auto" w:line="240"/>
    </w:pPr>
    <w:rPr>
      <w:rFonts w:ascii="Times New Roman" w:cs="Times New Roman" w:eastAsia="Times New Roman" w:hAnsi="Times New Roman"/>
      <w:sz w:val="24"/>
      <w:szCs w:val="24"/>
    </w:rPr>
  </w:style>
  <w:style w:type="paragraph" w:styleId="style74">
    <w:name w:val="Subtitle"/>
    <w:basedOn w:val="style0"/>
    <w:next w:val="style0"/>
    <w:link w:val="style4135"/>
    <w:qFormat/>
    <w:uiPriority w:val="11"/>
    <w:pPr>
      <w:numPr>
        <w:ilvl w:val="1"/>
        <w:numId w:val="0"/>
      </w:numPr>
      <w:spacing w:after="0" w:lineRule="auto" w:line="240"/>
      <w:ind w:left="288"/>
    </w:pPr>
    <w:rPr>
      <w:rFonts w:ascii="Cambria" w:cs="SimSun" w:eastAsia="SimSun" w:hAnsi="Cambria"/>
      <w:i/>
      <w:iCs/>
      <w:color w:val="4f81bd"/>
      <w:spacing w:val="15"/>
      <w:sz w:val="24"/>
      <w:szCs w:val="24"/>
    </w:rPr>
  </w:style>
  <w:style w:type="character" w:customStyle="1" w:styleId="style4135">
    <w:name w:val="Subtitle Char"/>
    <w:basedOn w:val="style65"/>
    <w:next w:val="style4135"/>
    <w:link w:val="style74"/>
    <w:uiPriority w:val="11"/>
    <w:rPr>
      <w:rFonts w:ascii="Cambria" w:cs="SimSun" w:hAnsi="Cambria"/>
      <w:i/>
      <w:iCs/>
      <w:color w:val="4f81bd"/>
      <w:spacing w:val="15"/>
      <w:sz w:val="24"/>
      <w:szCs w:val="24"/>
    </w:rPr>
  </w:style>
  <w:style w:type="table" w:styleId="style218">
    <w:name w:val="Light Shading Accent 4"/>
    <w:basedOn w:val="style105"/>
    <w:next w:val="style218"/>
    <w:uiPriority w:val="60"/>
    <w:pPr/>
    <w:rPr>
      <w:color w:val="5f497a"/>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Rule="auto" w:line="240"/>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Rule="auto" w:line="240"/>
      </w:pPr>
      <w:rPr>
        <w:b/>
        <w:bCs/>
      </w:rPr>
      <w:tblPr/>
      <w:tcPr>
        <w:tcBorders>
          <w:top w:val="single" w:sz="8" w:space="0" w:color="8064a2"/>
          <w:left w:val="nil"/>
          <w:bottom w:val="single" w:sz="8" w:space="0" w:color="8064a2"/>
          <w:right w:val="nil"/>
          <w:insideH w:val="nil"/>
          <w:insideV w:val="nil"/>
        </w:tcBorders>
      </w:tcPr>
    </w:tblStylePr>
    <w:tblStylePr w:type="band1Horz">
      <w:pPr/>
      <w:tblPr/>
      <w:tcPr>
        <w:tcBorders>
          <w:left w:val="nil"/>
          <w:right w:val="nil"/>
          <w:insideH w:val="nil"/>
          <w:insideV w:val="nil"/>
        </w:tcBorders>
        <w:shd w:val="clear" w:color="auto" w:fill="dfd8e8"/>
      </w:tcPr>
    </w:tblStylePr>
    <w:tblStylePr w:type="firstCol">
      <w:pPr/>
      <w:rPr>
        <w:b/>
        <w:bCs/>
      </w:rPr>
      <w:tcPr>
        <w:tcBorders/>
      </w:tcPr>
    </w:tblStylePr>
    <w:tblStylePr w:type="lastCol">
      <w:pPr/>
      <w:rPr>
        <w:b/>
        <w:bCs/>
      </w:rPr>
      <w:tcPr>
        <w:tcBorders/>
      </w:tcPr>
    </w:tblStylePr>
    <w:tblStylePr w:type="band1Vert">
      <w:pPr/>
      <w:tblPr/>
      <w:tcPr>
        <w:tcBorders>
          <w:left w:val="nil"/>
          <w:right w:val="nil"/>
          <w:insideH w:val="nil"/>
          <w:insideV w:val="nil"/>
        </w:tcBorders>
        <w:shd w:val="clear" w:color="auto" w:fill="dfd8e8"/>
      </w:tcPr>
    </w:tblStylePr>
    <w:tcPr>
      <w:tcBorders/>
    </w:tcPr>
  </w:style>
  <w:style w:type="paragraph" w:styleId="style62">
    <w:name w:val="Title"/>
    <w:basedOn w:val="style0"/>
    <w:next w:val="style0"/>
    <w:link w:val="style4136"/>
    <w:qFormat/>
    <w:uiPriority w:val="10"/>
    <w:pPr>
      <w:pBdr>
        <w:bottom w:val="single" w:sz="8" w:space="4" w:color="4f81bd"/>
      </w:pBdr>
      <w:spacing w:after="300" w:lineRule="auto" w:line="240"/>
      <w:ind w:left="288"/>
      <w:contextualSpacing/>
    </w:pPr>
    <w:rPr>
      <w:rFonts w:ascii="Cambria" w:cs="SimSun" w:eastAsia="SimSun" w:hAnsi="Cambria"/>
      <w:color w:val="17365d"/>
      <w:spacing w:val="5"/>
      <w:kern w:val="28"/>
      <w:sz w:val="52"/>
      <w:szCs w:val="52"/>
    </w:rPr>
  </w:style>
  <w:style w:type="character" w:customStyle="1" w:styleId="style4136">
    <w:name w:val="Title Char_18c360f7-3118-43ef-bf1d-f28915ea69c4"/>
    <w:basedOn w:val="style65"/>
    <w:next w:val="style4136"/>
    <w:link w:val="style62"/>
    <w:uiPriority w:val="10"/>
    <w:rPr>
      <w:rFonts w:ascii="Cambria" w:cs="SimSun" w:hAnsi="Cambria"/>
      <w:color w:val="17365d"/>
      <w:spacing w:val="5"/>
      <w:kern w:val="28"/>
      <w:sz w:val="52"/>
      <w:szCs w:val="52"/>
    </w:rPr>
  </w:style>
  <w:style w:type="character" w:styleId="style262">
    <w:name w:val="Subtle Reference"/>
    <w:basedOn w:val="style65"/>
    <w:next w:val="style262"/>
    <w:qFormat/>
    <w:uiPriority w:val="31"/>
    <w:rPr>
      <w:smallCaps/>
      <w:color w:val="c0504d"/>
      <w:u w:val="single"/>
    </w:rPr>
  </w:style>
</w:styles>
</file>

<file path=word/_rels/document.xml.rels><?xml version="1.0" encoding="UTF-8"?>
<Relationships xmlns="http://schemas.openxmlformats.org/package/2006/relationships"><Relationship Id="rId11" Type="http://schemas.openxmlformats.org/officeDocument/2006/relationships/chart" Target="charts/chart2.xml"/><Relationship Id="rId10" Type="http://schemas.openxmlformats.org/officeDocument/2006/relationships/chart" Target="charts/chart1.xml"/><Relationship Id="rId13" Type="http://schemas.openxmlformats.org/officeDocument/2006/relationships/chart" Target="charts/chart4.xml"/><Relationship Id="rId12" Type="http://schemas.openxmlformats.org/officeDocument/2006/relationships/chart" Target="charts/chart3.xml"/><Relationship Id="rId1" Type="http://schemas.openxmlformats.org/officeDocument/2006/relationships/numbering" Target="numbering.xml"/><Relationship Id="rId2" Type="http://schemas.openxmlformats.org/officeDocument/2006/relationships/image" Target="media/image1.jpeg"/><Relationship Id="rId3" Type="http://schemas.openxmlformats.org/officeDocument/2006/relationships/footer" Target="footer1.xml"/><Relationship Id="rId4" Type="http://schemas.openxmlformats.org/officeDocument/2006/relationships/footer" Target="footer2.xml"/><Relationship Id="rId9" Type="http://schemas.openxmlformats.org/officeDocument/2006/relationships/image" Target="media/image3.emf"/><Relationship Id="rId15" Type="http://schemas.openxmlformats.org/officeDocument/2006/relationships/fontTable" Target="fontTable.xml"/><Relationship Id="rId14" Type="http://schemas.openxmlformats.org/officeDocument/2006/relationships/styles" Target="styles.xml"/><Relationship Id="rId17" Type="http://schemas.openxmlformats.org/officeDocument/2006/relationships/theme" Target="theme/theme1.xml"/><Relationship Id="rId16" Type="http://schemas.openxmlformats.org/officeDocument/2006/relationships/settings" Target="settings.xml"/><Relationship Id="rId5" Type="http://schemas.openxmlformats.org/officeDocument/2006/relationships/image" Target="media/image2.png"/><Relationship Id="rId19" Type="http://schemas.openxmlformats.org/officeDocument/2006/relationships/customXml" Target="../customXml/item2.xml"/><Relationship Id="rId6" Type="http://schemas.openxmlformats.org/officeDocument/2006/relationships/footer" Target="footer3.xml"/><Relationship Id="rId18" Type="http://schemas.openxmlformats.org/officeDocument/2006/relationships/customXml" Target="../customXml/item1.xml"/><Relationship Id="rId7" Type="http://schemas.openxmlformats.org/officeDocument/2006/relationships/image" Target="media/image3.png"/><Relationship Id="rId8" Type="http://schemas.openxmlformats.org/officeDocument/2006/relationships/image" Target="media/image2.emf"/></Relationships>
</file>

<file path=word/charts/_rels/chart1.xml.rels><?xml version="1.0" encoding="UTF-8"?>
<Relationships xmlns="http://schemas.openxmlformats.org/package/2006/relationships"><Relationship Id="rId1" Type="http://schemas.openxmlformats.org/officeDocument/2006/relationships/package" Target="../embeddings/Microsoft_Excel____4.xlsx"/></Relationships>
</file>

<file path=word/charts/_rels/chart2.xml.rels><?xml version="1.0" encoding="UTF-8"?>
<Relationships xmlns="http://schemas.openxmlformats.org/package/2006/relationships"><Relationship Id="rId1" Type="http://schemas.openxmlformats.org/officeDocument/2006/relationships/package" Target="../embeddings/Microsoft_Excel____1.xlsx"/></Relationships>
</file>

<file path=word/charts/_rels/chart3.xml.rels><?xml version="1.0" encoding="UTF-8"?>
<Relationships xmlns="http://schemas.openxmlformats.org/package/2006/relationships"><Relationship Id="rId1" Type="http://schemas.openxmlformats.org/officeDocument/2006/relationships/package" Target="../embeddings/Microsoft_Excel____2.xlsx"/></Relationships>
</file>

<file path=word/charts/_rels/chart4.xml.rels><?xml version="1.0" encoding="UTF-8"?>
<Relationships xmlns="http://schemas.openxmlformats.org/package/2006/relationships"><Relationship Id="rId1" Type="http://schemas.openxmlformats.org/officeDocument/2006/relationships/package" Target="../embeddings/Microsoft_Excel____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1"/>
  <c:style val="2"/>
  <c:chart>
    <c:autoTitleDeleted val="1"/>
    <c:plotArea>
      <c:layout/>
      <c:barChart>
        <c:barDir val="col"/>
        <c:grouping val="clustered"/>
        <c:varyColors val="1"/>
        <c:ser>
          <c:idx val="0"/>
          <c:order val="0"/>
          <c:tx>
            <c:strRef>
              <c:f>Sheet1!$B$1</c:f>
              <c:strCache>
                <c:ptCount val="1"/>
                <c:pt idx="0">
                  <c:v>Series 1</c:v>
                </c:pt>
              </c:strCache>
            </c:strRef>
          </c:tx>
          <c:invertIfNegative val="1"/>
          <c:cat>
            <c:strRef>
              <c:f>Sheet1!$A$2:$A$5</c:f>
              <c:strCache>
                <c:ptCount val="4"/>
                <c:pt idx="0">
                  <c:v>Category 1</c:v>
                </c:pt>
                <c:pt idx="1">
                  <c:v>Category 2</c:v>
                </c:pt>
                <c:pt idx="2">
                  <c:v>Category 3</c:v>
                </c:pt>
                <c:pt idx="3">
                  <c:v>Category 4</c:v>
                </c:pt>
              </c:strCache>
            </c:strRef>
          </c:cat>
          <c:val>
            <c:numRef>
              <c:f>Sheet1!$B$2:$B$5</c:f>
              <c:numCache>
                <c:formatCode>General</c:formatCode>
                <c:ptCount val="4"/>
                <c:pt idx="0">
                  <c:v>4.3</c:v>
                </c:pt>
                <c:pt idx="1">
                  <c:v>2.5</c:v>
                </c:pt>
                <c:pt idx="2">
                  <c:v>3.5</c:v>
                </c:pt>
                <c:pt idx="3">
                  <c:v>4.5</c:v>
                </c:pt>
              </c:numCache>
            </c:numRef>
          </c:val>
          <c:extLst xmlns:c16r2="http://schemas.microsoft.com/office/drawing/2015/06/chart">
            <c:ext xmlns:c16="http://schemas.microsoft.com/office/drawing/2014/chart" uri="{C3380CC4-5D6E-409C-BE32-E72D297353CC}">
              <c16:uniqueId val="{00000000-4E31-40DE-9980-79A6DDEEF65F}"/>
            </c:ext>
          </c:extLst>
        </c:ser>
        <c:ser>
          <c:idx val="1"/>
          <c:order val="1"/>
          <c:tx>
            <c:strRef>
              <c:f>Sheet1!$C$1</c:f>
              <c:strCache>
                <c:ptCount val="1"/>
                <c:pt idx="0">
                  <c:v>Series 2</c:v>
                </c:pt>
              </c:strCache>
            </c:strRef>
          </c:tx>
          <c:invertIfNegative val="1"/>
          <c:cat>
            <c:strRef>
              <c:f>Sheet1!$A$2:$A$5</c:f>
              <c:strCache>
                <c:ptCount val="4"/>
                <c:pt idx="0">
                  <c:v>Category 1</c:v>
                </c:pt>
                <c:pt idx="1">
                  <c:v>Category 2</c:v>
                </c:pt>
                <c:pt idx="2">
                  <c:v>Category 3</c:v>
                </c:pt>
                <c:pt idx="3">
                  <c:v>Category 4</c:v>
                </c:pt>
              </c:strCache>
            </c:strRef>
          </c:cat>
          <c:val>
            <c:numRef>
              <c:f>Sheet1!$C$2:$C$5</c:f>
              <c:numCache>
                <c:formatCode>General</c:formatCode>
                <c:ptCount val="4"/>
                <c:pt idx="0">
                  <c:v>2.4</c:v>
                </c:pt>
                <c:pt idx="1">
                  <c:v>4.4000000000000004</c:v>
                </c:pt>
                <c:pt idx="2">
                  <c:v>1.8</c:v>
                </c:pt>
                <c:pt idx="3">
                  <c:v>2.8</c:v>
                </c:pt>
              </c:numCache>
            </c:numRef>
          </c:val>
          <c:extLst xmlns:c16r2="http://schemas.microsoft.com/office/drawing/2015/06/chart">
            <c:ext xmlns:c16="http://schemas.microsoft.com/office/drawing/2014/chart" uri="{C3380CC4-5D6E-409C-BE32-E72D297353CC}">
              <c16:uniqueId val="{00000001-4E31-40DE-9980-79A6DDEEF65F}"/>
            </c:ext>
          </c:extLst>
        </c:ser>
        <c:ser>
          <c:idx val="2"/>
          <c:order val="2"/>
          <c:tx>
            <c:strRef>
              <c:f>Sheet1!$D$1</c:f>
              <c:strCache>
                <c:ptCount val="1"/>
                <c:pt idx="0">
                  <c:v>Series 3</c:v>
                </c:pt>
              </c:strCache>
            </c:strRef>
          </c:tx>
          <c:invertIfNegative val="1"/>
          <c:cat>
            <c:strRef>
              <c:f>Sheet1!$A$2:$A$5</c:f>
              <c:strCache>
                <c:ptCount val="4"/>
                <c:pt idx="0">
                  <c:v>Category 1</c:v>
                </c:pt>
                <c:pt idx="1">
                  <c:v>Category 2</c:v>
                </c:pt>
                <c:pt idx="2">
                  <c:v>Category 3</c:v>
                </c:pt>
                <c:pt idx="3">
                  <c:v>Category 4</c:v>
                </c:pt>
              </c:strCache>
            </c:strRef>
          </c:cat>
          <c:val>
            <c:numRef>
              <c:f>Sheet1!$D$2:$D$5</c:f>
              <c:numCache>
                <c:formatCode>General</c:formatCode>
                <c:ptCount val="4"/>
                <c:pt idx="0">
                  <c:v>2</c:v>
                </c:pt>
                <c:pt idx="1">
                  <c:v>2</c:v>
                </c:pt>
                <c:pt idx="2">
                  <c:v>3</c:v>
                </c:pt>
                <c:pt idx="3">
                  <c:v>5</c:v>
                </c:pt>
              </c:numCache>
            </c:numRef>
          </c:val>
          <c:extLst xmlns:c16r2="http://schemas.microsoft.com/office/drawing/2015/06/chart">
            <c:ext xmlns:c16="http://schemas.microsoft.com/office/drawing/2014/chart" uri="{C3380CC4-5D6E-409C-BE32-E72D297353CC}">
              <c16:uniqueId val="{00000002-4E31-40DE-9980-79A6DDEEF65F}"/>
            </c:ext>
          </c:extLst>
        </c:ser>
        <c:dLbls>
          <c:showLegendKey val="0"/>
          <c:showVal val="0"/>
          <c:showCatName val="0"/>
          <c:showSerName val="0"/>
          <c:showPercent val="0"/>
          <c:showBubbleSize val="0"/>
        </c:dLbls>
        <c:gapWidth val="150"/>
        <c:axId val="181926912"/>
        <c:axId val="152503040"/>
      </c:barChart>
      <c:catAx>
        <c:axId val="181926912"/>
        <c:scaling>
          <c:orientation val="minMax"/>
        </c:scaling>
        <c:delete val="1"/>
        <c:axPos val="b"/>
        <c:numFmt formatCode="General" sourceLinked="0"/>
        <c:majorTickMark val="cross"/>
        <c:minorTickMark val="cross"/>
        <c:tickLblPos val="nextTo"/>
        <c:crossAx val="152503040"/>
        <c:crosses val="autoZero"/>
        <c:auto val="1"/>
        <c:lblAlgn val="ctr"/>
        <c:lblOffset val="100"/>
        <c:noMultiLvlLbl val="1"/>
      </c:catAx>
      <c:valAx>
        <c:axId val="152503040"/>
        <c:scaling>
          <c:orientation val="minMax"/>
        </c:scaling>
        <c:delete val="1"/>
        <c:axPos val="l"/>
        <c:majorGridlines/>
        <c:numFmt formatCode="General" sourceLinked="1"/>
        <c:majorTickMark val="cross"/>
        <c:minorTickMark val="cross"/>
        <c:tickLblPos val="nextTo"/>
        <c:crossAx val="181926912"/>
        <c:crosses val="autoZero"/>
        <c:crossBetween val="between"/>
      </c:valAx>
    </c:plotArea>
    <c:legend>
      <c:legendPos val="r"/>
      <c:layout/>
      <c:overlay val="1"/>
    </c:legend>
    <c:plotVisOnly val="1"/>
    <c:dispBlanksAs val="gap"/>
    <c:showDLblsOverMax val="1"/>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1"/>
  <c:style val="2"/>
  <c:chart>
    <c:title>
      <c:layout/>
      <c:overlay val="1"/>
    </c:title>
    <c:autoTitleDeleted val="0"/>
    <c:view3D>
      <c:rotX val="30"/>
      <c:rotY val="0"/>
      <c:rAngAx val="1"/>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cat>
            <c:strRef>
              <c:f>Sheet1!$A$2:$A$5</c:f>
              <c:strCache>
                <c:ptCount val="4"/>
                <c:pt idx="0">
                  <c:v>1st Qtr</c:v>
                </c:pt>
                <c:pt idx="1">
                  <c:v>2nd Qtr</c:v>
                </c:pt>
                <c:pt idx="2">
                  <c:v>3rd Qtr</c:v>
                </c:pt>
                <c:pt idx="3">
                  <c:v>4th Qtr</c:v>
                </c:pt>
              </c:strCache>
            </c:strRef>
          </c:cat>
          <c:val>
            <c:numRef>
              <c:f>Sheet1!$B$2:$B$5</c:f>
              <c:numCache>
                <c:formatCode>General</c:formatCode>
                <c:ptCount val="4"/>
                <c:pt idx="0">
                  <c:v>8.1999999999999993</c:v>
                </c:pt>
                <c:pt idx="1">
                  <c:v>3.2</c:v>
                </c:pt>
                <c:pt idx="2">
                  <c:v>1.4</c:v>
                </c:pt>
                <c:pt idx="3">
                  <c:v>1.2</c:v>
                </c:pt>
              </c:numCache>
            </c:numRef>
          </c:val>
          <c:extLst xmlns:c16r2="http://schemas.microsoft.com/office/drawing/2015/06/chart">
            <c:ext xmlns:c16="http://schemas.microsoft.com/office/drawing/2014/chart" uri="{C3380CC4-5D6E-409C-BE32-E72D297353CC}">
              <c16:uniqueId val="{00000000-2FAD-4352-A948-8FA95958B634}"/>
            </c:ext>
          </c:extLst>
        </c:ser>
        <c:dLbls>
          <c:showLegendKey val="0"/>
          <c:showVal val="0"/>
          <c:showCatName val="0"/>
          <c:showSerName val="0"/>
          <c:showPercent val="0"/>
          <c:showBubbleSize val="0"/>
          <c:showLeaderLines val="1"/>
        </c:dLbls>
      </c:pie3DChart>
    </c:plotArea>
    <c:legend>
      <c:legendPos val="r"/>
      <c:layout/>
      <c:overlay val="1"/>
    </c:legend>
    <c:plotVisOnly val="1"/>
    <c:dispBlanksAs val="zero"/>
    <c:showDLblsOverMax val="1"/>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1"/>
  <c:style val="2"/>
  <c:chart>
    <c:autoTitleDeleted val="1"/>
    <c:view3D>
      <c:rotX val="0"/>
      <c:rotY val="0"/>
      <c:rAngAx val="1"/>
    </c:view3D>
    <c:floor>
      <c:thickness val="0"/>
    </c:floor>
    <c:sideWall>
      <c:thickness val="0"/>
    </c:sideWall>
    <c:backWall>
      <c:thickness val="0"/>
    </c:backWall>
    <c:plotArea>
      <c:layout/>
      <c:bar3DChart>
        <c:barDir val="col"/>
        <c:grouping val="clustered"/>
        <c:varyColors val="1"/>
        <c:ser>
          <c:idx val="0"/>
          <c:order val="0"/>
          <c:tx>
            <c:strRef>
              <c:f>Sheet1!$B$1</c:f>
              <c:strCache>
                <c:ptCount val="1"/>
                <c:pt idx="0">
                  <c:v>Series 1</c:v>
                </c:pt>
              </c:strCache>
            </c:strRef>
          </c:tx>
          <c:invertIfNegative val="1"/>
          <c:cat>
            <c:strRef>
              <c:f>Sheet1!$A$2:$A$5</c:f>
              <c:strCache>
                <c:ptCount val="4"/>
                <c:pt idx="0">
                  <c:v>Category 1</c:v>
                </c:pt>
                <c:pt idx="1">
                  <c:v>Category 2</c:v>
                </c:pt>
                <c:pt idx="2">
                  <c:v>Category 3</c:v>
                </c:pt>
                <c:pt idx="3">
                  <c:v>Category 4</c:v>
                </c:pt>
              </c:strCache>
            </c:strRef>
          </c:cat>
          <c:val>
            <c:numRef>
              <c:f>Sheet1!$B$2:$B$5</c:f>
              <c:numCache>
                <c:formatCode>General</c:formatCode>
                <c:ptCount val="4"/>
                <c:pt idx="0">
                  <c:v>4.3</c:v>
                </c:pt>
                <c:pt idx="1">
                  <c:v>2.5</c:v>
                </c:pt>
                <c:pt idx="2">
                  <c:v>3.5</c:v>
                </c:pt>
                <c:pt idx="3">
                  <c:v>4.5</c:v>
                </c:pt>
              </c:numCache>
            </c:numRef>
          </c:val>
          <c:extLst xmlns:c16r2="http://schemas.microsoft.com/office/drawing/2015/06/chart">
            <c:ext xmlns:c16="http://schemas.microsoft.com/office/drawing/2014/chart" uri="{C3380CC4-5D6E-409C-BE32-E72D297353CC}">
              <c16:uniqueId val="{00000000-1478-4672-B496-5E3E5423E908}"/>
            </c:ext>
          </c:extLst>
        </c:ser>
        <c:ser>
          <c:idx val="1"/>
          <c:order val="1"/>
          <c:tx>
            <c:strRef>
              <c:f>Sheet1!$C$1</c:f>
              <c:strCache>
                <c:ptCount val="1"/>
                <c:pt idx="0">
                  <c:v>Series 2</c:v>
                </c:pt>
              </c:strCache>
            </c:strRef>
          </c:tx>
          <c:invertIfNegative val="1"/>
          <c:cat>
            <c:strRef>
              <c:f>Sheet1!$A$2:$A$5</c:f>
              <c:strCache>
                <c:ptCount val="4"/>
                <c:pt idx="0">
                  <c:v>Category 1</c:v>
                </c:pt>
                <c:pt idx="1">
                  <c:v>Category 2</c:v>
                </c:pt>
                <c:pt idx="2">
                  <c:v>Category 3</c:v>
                </c:pt>
                <c:pt idx="3">
                  <c:v>Category 4</c:v>
                </c:pt>
              </c:strCache>
            </c:strRef>
          </c:cat>
          <c:val>
            <c:numRef>
              <c:f>Sheet1!$C$2:$C$5</c:f>
              <c:numCache>
                <c:formatCode>General</c:formatCode>
                <c:ptCount val="4"/>
                <c:pt idx="0">
                  <c:v>2.4</c:v>
                </c:pt>
                <c:pt idx="1">
                  <c:v>4.4000000000000004</c:v>
                </c:pt>
                <c:pt idx="2">
                  <c:v>1.8</c:v>
                </c:pt>
                <c:pt idx="3">
                  <c:v>2.8</c:v>
                </c:pt>
              </c:numCache>
            </c:numRef>
          </c:val>
          <c:extLst xmlns:c16r2="http://schemas.microsoft.com/office/drawing/2015/06/chart">
            <c:ext xmlns:c16="http://schemas.microsoft.com/office/drawing/2014/chart" uri="{C3380CC4-5D6E-409C-BE32-E72D297353CC}">
              <c16:uniqueId val="{00000001-1478-4672-B496-5E3E5423E908}"/>
            </c:ext>
          </c:extLst>
        </c:ser>
        <c:ser>
          <c:idx val="2"/>
          <c:order val="2"/>
          <c:tx>
            <c:strRef>
              <c:f>Sheet1!$D$1</c:f>
              <c:strCache>
                <c:ptCount val="1"/>
                <c:pt idx="0">
                  <c:v>Series 3</c:v>
                </c:pt>
              </c:strCache>
            </c:strRef>
          </c:tx>
          <c:invertIfNegative val="1"/>
          <c:cat>
            <c:strRef>
              <c:f>Sheet1!$A$2:$A$5</c:f>
              <c:strCache>
                <c:ptCount val="4"/>
                <c:pt idx="0">
                  <c:v>Category 1</c:v>
                </c:pt>
                <c:pt idx="1">
                  <c:v>Category 2</c:v>
                </c:pt>
                <c:pt idx="2">
                  <c:v>Category 3</c:v>
                </c:pt>
                <c:pt idx="3">
                  <c:v>Category 4</c:v>
                </c:pt>
              </c:strCache>
            </c:strRef>
          </c:cat>
          <c:val>
            <c:numRef>
              <c:f>Sheet1!$D$2:$D$5</c:f>
              <c:numCache>
                <c:formatCode>General</c:formatCode>
                <c:ptCount val="4"/>
                <c:pt idx="0">
                  <c:v>2</c:v>
                </c:pt>
                <c:pt idx="1">
                  <c:v>2</c:v>
                </c:pt>
                <c:pt idx="2">
                  <c:v>3</c:v>
                </c:pt>
                <c:pt idx="3">
                  <c:v>5</c:v>
                </c:pt>
              </c:numCache>
            </c:numRef>
          </c:val>
          <c:extLst xmlns:c16r2="http://schemas.microsoft.com/office/drawing/2015/06/chart">
            <c:ext xmlns:c16="http://schemas.microsoft.com/office/drawing/2014/chart" uri="{C3380CC4-5D6E-409C-BE32-E72D297353CC}">
              <c16:uniqueId val="{00000002-1478-4672-B496-5E3E5423E908}"/>
            </c:ext>
          </c:extLst>
        </c:ser>
        <c:dLbls>
          <c:showLegendKey val="0"/>
          <c:showVal val="0"/>
          <c:showCatName val="0"/>
          <c:showSerName val="0"/>
          <c:showPercent val="0"/>
          <c:showBubbleSize val="0"/>
        </c:dLbls>
        <c:gapWidth val="150"/>
        <c:shape val="box"/>
        <c:axId val="152557440"/>
        <c:axId val="152558976"/>
        <c:axId val="0"/>
      </c:bar3DChart>
      <c:catAx>
        <c:axId val="152557440"/>
        <c:scaling>
          <c:orientation val="minMax"/>
        </c:scaling>
        <c:delete val="1"/>
        <c:axPos val="b"/>
        <c:numFmt formatCode="General" sourceLinked="0"/>
        <c:majorTickMark val="cross"/>
        <c:minorTickMark val="cross"/>
        <c:tickLblPos val="nextTo"/>
        <c:crossAx val="152558976"/>
        <c:crosses val="autoZero"/>
        <c:auto val="1"/>
        <c:lblAlgn val="ctr"/>
        <c:lblOffset val="100"/>
        <c:noMultiLvlLbl val="1"/>
      </c:catAx>
      <c:valAx>
        <c:axId val="152558976"/>
        <c:scaling>
          <c:orientation val="minMax"/>
        </c:scaling>
        <c:delete val="1"/>
        <c:axPos val="l"/>
        <c:majorGridlines/>
        <c:numFmt formatCode="General" sourceLinked="1"/>
        <c:majorTickMark val="cross"/>
        <c:minorTickMark val="cross"/>
        <c:tickLblPos val="nextTo"/>
        <c:crossAx val="152557440"/>
        <c:crosses val="autoZero"/>
        <c:crossBetween val="between"/>
      </c:valAx>
    </c:plotArea>
    <c:legend>
      <c:legendPos val="r"/>
      <c:layout/>
      <c:overlay val="1"/>
    </c:legend>
    <c:plotVisOnly val="1"/>
    <c:dispBlanksAs val="gap"/>
    <c:showDLblsOverMax val="1"/>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1"/>
  <c:style val="2"/>
  <c:chart>
    <c:title>
      <c:layout/>
      <c:overlay val="1"/>
    </c:title>
    <c:autoTitleDeleted val="0"/>
    <c:plotArea>
      <c:layout/>
      <c:pieChart>
        <c:varyColors val="1"/>
        <c:ser>
          <c:idx val="0"/>
          <c:order val="0"/>
          <c:tx>
            <c:strRef>
              <c:f>Sheet1!$B$1</c:f>
              <c:strCache>
                <c:ptCount val="1"/>
                <c:pt idx="0">
                  <c:v>Sales</c:v>
                </c:pt>
              </c:strCache>
            </c:strRef>
          </c:tx>
          <c:cat>
            <c:strRef>
              <c:f>Sheet1!$A$2:$A$5</c:f>
              <c:strCache>
                <c:ptCount val="4"/>
                <c:pt idx="0">
                  <c:v>1st Qtr</c:v>
                </c:pt>
                <c:pt idx="1">
                  <c:v>2nd Qtr</c:v>
                </c:pt>
                <c:pt idx="2">
                  <c:v>3rd Qtr</c:v>
                </c:pt>
                <c:pt idx="3">
                  <c:v>4th Qtr</c:v>
                </c:pt>
              </c:strCache>
            </c:strRef>
          </c:cat>
          <c:val>
            <c:numRef>
              <c:f>Sheet1!$B$2:$B$5</c:f>
              <c:numCache>
                <c:formatCode>General</c:formatCode>
                <c:ptCount val="4"/>
                <c:pt idx="0">
                  <c:v>8.1999999999999993</c:v>
                </c:pt>
                <c:pt idx="1">
                  <c:v>3.2</c:v>
                </c:pt>
                <c:pt idx="2">
                  <c:v>1.4</c:v>
                </c:pt>
                <c:pt idx="3">
                  <c:v>1.2</c:v>
                </c:pt>
              </c:numCache>
            </c:numRef>
          </c:val>
          <c:extLst xmlns:c16r2="http://schemas.microsoft.com/office/drawing/2015/06/chart">
            <c:ext xmlns:c16="http://schemas.microsoft.com/office/drawing/2014/chart" uri="{C3380CC4-5D6E-409C-BE32-E72D297353CC}">
              <c16:uniqueId val="{00000000-C233-4E8A-9BDC-66805CFB5DBC}"/>
            </c:ext>
          </c:extLst>
        </c:ser>
        <c:dLbls>
          <c:showLegendKey val="0"/>
          <c:showVal val="0"/>
          <c:showCatName val="0"/>
          <c:showSerName val="0"/>
          <c:showPercent val="0"/>
          <c:showBubbleSize val="0"/>
          <c:showLeaderLines val="1"/>
        </c:dLbls>
        <c:firstSliceAng val="0"/>
      </c:pieChart>
    </c:plotArea>
    <c:legend>
      <c:legendPos val="r"/>
      <c:layout/>
      <c:overlay val="1"/>
    </c:legend>
    <c:plotVisOnly val="1"/>
    <c:dispBlanksAs val="zero"/>
    <c:showDLblsOverMax val="1"/>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_rels/item2.xml.rels><?xml version="1.0" encoding="UTF-8"?>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b:Source>
    <b:Tag>Placeholder1</b:Tag>
    <b:SourceType>ArticleInAPeriodical</b:SourceType>
    <b:Guid>{CFE8E434-DD3A-496E-B797-71DA6F2E4E18}</b:Guid>
    <b:RefOrder>1</b:RefOrder>
  </b:Source>
</b:Sources>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C95639B7-76CD-45E2-8245-71E13B9DE1D7}">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Words>24870</Words>
  <Characters>142155</Characters>
  <Application>WPS Office</Application>
  <DocSecurity>0</DocSecurity>
  <Paragraphs>2180</Paragraphs>
  <ScaleCrop>false</ScaleCrop>
  <LinksUpToDate>false</LinksUpToDate>
  <CharactersWithSpaces>168663</CharactersWithSpaces>
  <SharedDoc>false</SharedDoc>
  <HyperlinksChanged>false</HyperlinksChanged>
  <AppVersion>14.000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2025-08-07T12:40:43Z</dcterms:created>
  <dc:creator>user</dc:creator>
  <lastModifiedBy>SM-A032F</lastModifiedBy>
  <lastPrinted>2025-07-24T20:41:00Z</lastPrinted>
  <dcterms:modified xsi:type="dcterms:W3CDTF">2025-08-07T12:40:44Z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dd8d58f7-c61e-3853-8ea5-8ba3ea94438e</vt:lpwstr>
  </property>
  <property fmtid="{D5CDD505-2E9C-101B-9397-08002B2CF9AE}" pid="24" name="Mendeley Citation Style_1">
    <vt:lpwstr>http://www.zotero.org/styles/american-medical-association</vt:lpwstr>
  </property>
  <property fmtid="{D5CDD505-2E9C-101B-9397-08002B2CF9AE}" pid="25" name="KSOProductBuildVer">
    <vt:lpwstr>2057-12.2.0.19821</vt:lpwstr>
  </property>
  <property fmtid="{D5CDD505-2E9C-101B-9397-08002B2CF9AE}" pid="26" name="ICV">
    <vt:lpwstr>38FB667C51C340A980ACAB1F4BFFAA09_12</vt:lpwstr>
  </property>
</Properties>
</file>